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rFonts w:ascii="Arial" w:cs="Arial" w:eastAsia="Arial" w:hAnsi="Arial"/>
          <w:b/>
          <w:bCs/>
          <w:color w:val="1F4E79"/>
          <w:sz w:val="48"/>
          <w:szCs w:val="48"/>
        </w:rPr>
        <w:t xml:space="preserve">Helios Credit Rating Engine</w:t>
      </w:r>
    </w:p>
    <w:p>
      <w:pPr>
        <w:spacing w:after="480"/>
        <w:jc w:val="center"/>
      </w:pPr>
      <w:r>
        <w:rPr>
          <w:rFonts w:ascii="Arial" w:cs="Arial" w:eastAsia="Arial" w:hAnsi="Arial"/>
          <w:b/>
          <w:bCs/>
          <w:color w:val="1F4E79"/>
          <w:sz w:val="40"/>
          <w:szCs w:val="40"/>
        </w:rPr>
        <w:t xml:space="preserve">S&amp;P 500 Backtest — Pilot Report</w:t>
      </w:r>
    </w:p>
    <w:p>
      <w:pPr>
        <w:spacing w:after="120"/>
        <w:jc w:val="center"/>
      </w:pPr>
      <w:r>
        <w:rPr>
          <w:rFonts w:ascii="Arial" w:cs="Arial" w:eastAsia="Arial" w:hAnsi="Arial"/>
          <w:i/>
          <w:iCs/>
          <w:color w:val="595959"/>
          <w:sz w:val="24"/>
          <w:szCs w:val="24"/>
        </w:rPr>
        <w:t xml:space="preserve">31-ticker pilot subset of 25% random S&amp;P 500 sample</w:t>
      </w:r>
    </w:p>
    <w:p>
      <w:pPr>
        <w:spacing w:after="2400"/>
        <w:jc w:val="center"/>
      </w:pPr>
      <w:r>
        <w:rPr>
          <w:rFonts w:ascii="Arial" w:cs="Arial" w:eastAsia="Arial" w:hAnsi="Arial"/>
          <w:i/>
          <w:iCs/>
          <w:color w:val="595959"/>
          <w:sz w:val="22"/>
          <w:szCs w:val="22"/>
        </w:rPr>
        <w:t xml:space="preserve">Helios-implied ratings vs actual S&amp;P / Moody’s agency ratings</w:t>
      </w:r>
    </w:p>
    <w:p>
      <w:pPr>
        <w:spacing w:after="60"/>
        <w:jc w:val="center"/>
      </w:pPr>
      <w:r>
        <w:rPr>
          <w:rFonts w:ascii="Arial" w:cs="Arial" w:eastAsia="Arial" w:hAnsi="Arial"/>
          <w:sz w:val="22"/>
          <w:szCs w:val="22"/>
        </w:rPr>
        <w:t xml:space="preserve">Generated: 2026-04-22</w:t>
      </w:r>
    </w:p>
    <w:p>
      <w:pPr>
        <w:spacing w:after="60"/>
        <w:jc w:val="center"/>
      </w:pPr>
      <w:r>
        <w:rPr>
          <w:rFonts w:ascii="Arial" w:cs="Arial" w:eastAsia="Arial" w:hAnsi="Arial"/>
          <w:sz w:val="22"/>
          <w:szCs w:val="22"/>
        </w:rPr>
        <w:t xml:space="preserve">Engine version: backtest-pilot-2026-04-21</w:t>
      </w:r>
    </w:p>
    <w:p>
      <w:pPr>
        <w:spacing w:after="60"/>
        <w:jc w:val="center"/>
      </w:pPr>
      <w:r>
        <w:rPr>
          <w:rFonts w:ascii="Arial" w:cs="Arial" w:eastAsia="Arial" w:hAnsi="Arial"/>
          <w:sz w:val="22"/>
          <w:szCs w:val="22"/>
        </w:rPr>
        <w:t xml:space="preserve">Sampling seed: 42 (mulberry32, Fisher–Yates)</w:t>
      </w:r>
    </w:p>
    <w:p>
      <w:r>
        <w:br w:type="page"/>
      </w:r>
    </w:p>
    <w:p>
      <w:pPr>
        <w:pStyle w:val="Heading1"/>
        <w:spacing w:after="240" w:before="360"/>
      </w:pPr>
      <w:r>
        <w:rPr>
          <w:rFonts w:ascii="Arial" w:cs="Arial" w:eastAsia="Arial" w:hAnsi="Arial"/>
          <w:b/>
          <w:bCs/>
          <w:sz w:val="36"/>
          <w:szCs w:val="36"/>
        </w:rPr>
        <w:t xml:space="preserve">Contents</w:t>
      </w:r>
    </w:p>
    <w:sdt>
      <w:sdtPr>
        <w:alias w:val="Table of Contents"/>
      </w:sdtPr>
      <w:sdtContent>
        <w:p>
          <w:r>
            <w:fldChar w:fldCharType="begin" w:dirty="true"/>
            <w:instrText xml:space="preserve">TOC \h \o "1-3"</w:instrText>
            <w:fldChar w:fldCharType="separate"/>
          </w:r>
        </w:p>
        <w:p>
          <w:r>
            <w:fldChar w:fldCharType="end"/>
          </w:r>
        </w:p>
      </w:sdtContent>
    </w:sdt>
    <w:p>
      <w:r>
        <w:br w:type="page"/>
      </w:r>
    </w:p>
    <w:p>
      <w:pPr>
        <w:pStyle w:val="Heading1"/>
        <w:spacing w:after="240" w:before="360"/>
      </w:pPr>
      <w:r>
        <w:rPr>
          <w:rFonts w:ascii="Arial" w:cs="Arial" w:eastAsia="Arial" w:hAnsi="Arial"/>
          <w:b/>
          <w:bCs/>
          <w:sz w:val="36"/>
          <w:szCs w:val="36"/>
        </w:rPr>
        <w:t xml:space="preserve">1. Executive Summary</w:t>
      </w:r>
    </w:p>
    <w:p>
      <w:pPr>
        <w:spacing w:after="120"/>
      </w:pPr>
      <w:r>
        <w:t xml:space="preserve">This report documents a pilot backtest of the Helios Credit Rating Engine against actual agency ratings from Standard &amp; Poor’s and Moody’s. The backtest used a fixed-seed 25% random sample of current S&amp;P 500 constituents and was further restricted to a 31-ticker pilot subset drawn from non-financial, non-REIT, non-utility issuers. The restriction is deliberate: Helios’ current production scope is the corporate credit methodology path; bank/insurer (BIS/RBC capital inputs), REIT (FFO/AFFO), and rate-regulated utility (regulatory-construct modifiers) methodologies are out of scope for v1.</w:t>
      </w:r>
    </w:p>
    <w:p>
      <w:pPr>
        <w:spacing w:after="120"/>
      </w:pPr>
      <w:r>
        <w:t xml:space="preserve">Each ticker was rated end-to-end through rate_ticker_cli.js as an isolated Node subprocess, capturing the full envelope (reported rating, OBS-adjusted rating, per-methodology S&amp;P/Moody’s/Fitch outputs, composite score, PD/LGD, and limitations block). Ground-truth agency ratings are the curated sp500_ground_truth_ratings.json snapshot (216 entries, 94-ticker overlap with the sampled set).</w:t>
      </w:r>
    </w:p>
    <w:p>
      <w:pPr>
        <w:pStyle w:val="Heading2"/>
        <w:spacing w:after="180" w:before="280"/>
      </w:pPr>
      <w:r>
        <w:rPr>
          <w:rFonts w:ascii="Arial" w:cs="Arial" w:eastAsia="Arial" w:hAnsi="Arial"/>
          <w:b/>
          <w:bCs/>
          <w:sz w:val="28"/>
          <w:szCs w:val="28"/>
        </w:rPr>
        <w:t xml:space="preserve">1.1  Headline Numbers (Helios reported vs S&amp;P ground truth)</w:t>
      </w:r>
    </w:p>
    <w:p>
      <w:pPr>
        <w:spacing w:after="120"/>
      </w:pPr>
      <w:r>
        <w:rPr>
          <w:rFonts w:ascii="Arial" w:cs="Arial" w:eastAsia="Arial" w:hAnsi="Arial"/>
          <w:sz w:val="22"/>
          <w:szCs w:val="22"/>
        </w:rPr>
        <w:t xml:space="preserve">The engine placed 22/31 issuers (71.0%) within ±3 notches of the actual S&amp;P rating, with a mean absolute error of 2.61 notches and RMSE 3.28. </w:t>
      </w:r>
      <w:r>
        <w:rPr>
          <w:rFonts w:ascii="Arial" w:cs="Arial" w:eastAsia="Arial" w:hAnsi="Arial"/>
          <w:sz w:val="22"/>
          <w:szCs w:val="22"/>
        </w:rPr>
        <w:t xml:space="preserve">Mean signed delta was +0.68 notches (median +1), indicating a mild but real conservative bias. Exact-letter matches: 3/31 (9.7%). Rank correlation between Helios composite score and agency notch: Spearman ρ = 0.518.</w:t>
      </w:r>
    </w:p>
    <w:p>
      <w:pPr>
        <w:pStyle w:val="Heading2"/>
        <w:spacing w:after="180" w:before="280"/>
      </w:pPr>
      <w:r>
        <w:rPr>
          <w:rFonts w:ascii="Arial" w:cs="Arial" w:eastAsia="Arial" w:hAnsi="Arial"/>
          <w:b/>
          <w:bCs/>
          <w:sz w:val="28"/>
          <w:szCs w:val="28"/>
        </w:rPr>
        <w:t xml:space="preserve">1.2  Key Findings</w:t>
      </w:r>
    </w:p>
    <w:p>
      <w:pPr>
        <w:pStyle w:val="ListParagraph"/>
        <w:numPr>
          <w:ilvl w:val="0"/>
          <w:numId w:val="2"/>
        </w:numPr>
        <w:spacing w:after="60"/>
      </w:pPr>
      <w:r>
        <w:rPr>
          <w:rFonts w:ascii="Arial" w:cs="Arial" w:eastAsia="Arial" w:hAnsi="Arial"/>
          <w:sz w:val="22"/>
          <w:szCs w:val="22"/>
        </w:rPr>
        <w:t xml:space="preserve">Directional signal is real: Spearman ρ = 0.518 on 31 names says Helios ranks issuers in broadly the same order as S&amp;P, with statistically-detectable correlation.</w:t>
      </w:r>
    </w:p>
    <w:p>
      <w:pPr>
        <w:pStyle w:val="ListParagraph"/>
        <w:numPr>
          <w:ilvl w:val="0"/>
          <w:numId w:val="2"/>
        </w:numPr>
        <w:spacing w:after="60"/>
      </w:pPr>
      <w:r>
        <w:rPr>
          <w:rFonts w:ascii="Arial" w:cs="Arial" w:eastAsia="Arial" w:hAnsi="Arial"/>
          <w:sz w:val="22"/>
          <w:szCs w:val="22"/>
        </w:rPr>
        <w:t xml:space="preserve">Tier-1 agreement (6-bucket confusion-matrix diagonal): 9/31 (29.0%). Most misses are one coarse bucket off rather than catastrophic mis-ranking.</w:t>
      </w:r>
    </w:p>
    <w:p>
      <w:pPr>
        <w:pStyle w:val="ListParagraph"/>
        <w:numPr>
          <w:ilvl w:val="0"/>
          <w:numId w:val="2"/>
        </w:numPr>
        <w:spacing w:after="60"/>
      </w:pPr>
      <w:r>
        <w:rPr>
          <w:rFonts w:ascii="Arial" w:cs="Arial" w:eastAsia="Arial" w:hAnsi="Arial"/>
          <w:sz w:val="22"/>
          <w:szCs w:val="22"/>
        </w:rPr>
        <w:t xml:space="preserve">Cross-agency: Helios vs Moody’s (MAE 2.13 notches, within-3 80.6%) is materially tighter than Helios vs S&amp;P (MAE 2.61, within-3 71.0%). This mirrors the known Moody’s/S&amp;P cross-agency wedge and suggests Helios’ blended output (35/35/30 per X-15) leans Moody’s-like.</w:t>
      </w:r>
    </w:p>
    <w:p>
      <w:pPr>
        <w:pStyle w:val="ListParagraph"/>
        <w:numPr>
          <w:ilvl w:val="0"/>
          <w:numId w:val="2"/>
        </w:numPr>
        <w:spacing w:after="60"/>
      </w:pPr>
      <w:r>
        <w:rPr>
          <w:rFonts w:ascii="Arial" w:cs="Arial" w:eastAsia="Arial" w:hAnsi="Arial"/>
          <w:sz w:val="22"/>
          <w:szCs w:val="22"/>
        </w:rPr>
        <w:t xml:space="preserve">Systematic biases surface in two directions: (i) over-conservatism on issuers with negative or stressed TTM earnings (BA, TTWO) where S&amp;P/Moody’s through-the-cycle view absorbs cyclical bottoms Helios does not; (ii) over-optimism on low-debt, asset-heavy issuers where agency ratings incorporate qualitative factors (industry cyclicality, governance, sovereign ceiling) Helios’ quantitative path under-weights.</w:t>
      </w:r>
    </w:p>
    <w:p>
      <w:pPr>
        <w:pStyle w:val="ListParagraph"/>
        <w:numPr>
          <w:ilvl w:val="0"/>
          <w:numId w:val="2"/>
        </w:numPr>
        <w:spacing w:after="60"/>
      </w:pPr>
      <w:r>
        <w:rPr>
          <w:rFonts w:ascii="Arial" w:cs="Arial" w:eastAsia="Arial" w:hAnsi="Arial"/>
          <w:sz w:val="22"/>
          <w:szCs w:val="22"/>
        </w:rPr>
        <w:t xml:space="preserve">Consumer-staples mega-caps (PG, WMT, KHC) are under-rated by 2–4 notches. This is the strongest candidate for a methodology overlay refinement: stability premia for defensive business models are not fully captured by the current composite.</w:t>
      </w:r>
    </w:p>
    <w:p>
      <w:pPr>
        <w:pStyle w:val="ListParagraph"/>
        <w:numPr>
          <w:ilvl w:val="0"/>
          <w:numId w:val="2"/>
        </w:numPr>
        <w:spacing w:after="60"/>
      </w:pPr>
      <w:r>
        <w:rPr>
          <w:rFonts w:ascii="Arial" w:cs="Arial" w:eastAsia="Arial" w:hAnsi="Arial"/>
          <w:sz w:val="22"/>
          <w:szCs w:val="22"/>
        </w:rPr>
        <w:t xml:space="preserve">Zero engine crashes, zero timeouts, zero envelope-parse failures across 31 subprocess invocations in 1.8 seconds wall-clock. The CLI contract established under API-1 (#317) is behaving as designed at backtest scale.</w:t>
      </w:r>
    </w:p>
    <w:p>
      <w:pPr>
        <w:pStyle w:val="Heading2"/>
        <w:spacing w:after="180" w:before="280"/>
      </w:pPr>
      <w:r>
        <w:rPr>
          <w:rFonts w:ascii="Arial" w:cs="Arial" w:eastAsia="Arial" w:hAnsi="Arial"/>
          <w:b/>
          <w:bCs/>
          <w:sz w:val="28"/>
          <w:szCs w:val="28"/>
        </w:rPr>
        <w:t xml:space="preserve">1.3  Verdict on the Headline Question</w:t>
      </w:r>
    </w:p>
    <w:p>
      <w:pPr>
        <w:spacing w:after="120"/>
      </w:pPr>
      <w:r>
        <w:t xml:space="preserve">How close is Helios to actual agency ratings? Tier-1 accurate (within one S&amp;P coarse tier) on ~39% of pilot names, within-three-notches on ~71%, and rank-correlated with S&amp;P at ρ ≈ 0.52. That is early-production territory — respectable for a single-pass quantitative engine with no issuer-specific overlay, but not yet institutional-parity with a rating-committee output. The systematic biases documented in §6 and §8 are the leading candidates for v2 calibration.</w:t>
      </w:r>
    </w:p>
    <w:p>
      <w:pPr>
        <w:spacing w:after="120"/>
      </w:pPr>
      <w:r>
        <w:rPr>
          <w:rFonts w:ascii="Arial" w:cs="Arial" w:eastAsia="Arial" w:hAnsi="Arial"/>
          <w:b/>
          <w:bCs/>
          <w:sz w:val="22"/>
          <w:szCs w:val="22"/>
        </w:rPr>
        <w:t xml:space="preserve">Important caveats on this pilot: </w:t>
      </w:r>
      <w:r>
        <w:rPr>
          <w:rFonts w:ascii="Arial" w:cs="Arial" w:eastAsia="Arial" w:hAnsi="Arial"/>
          <w:sz w:val="22"/>
          <w:szCs w:val="22"/>
        </w:rPr>
        <w:t xml:space="preserve">n = 31 is a pilot, not a definitive evaluation. Results are subject to change as the backtest expands to the full 94-ticker overlap and the remaining 63 rows (financials, REITs, utilities, and names without hand-curated financials yet). The 31-ticker subset was chosen for confidence in the financial inputs, not for representativeness — it over-weights mega-cap names and under-weights high-yield. Extrapolation to the full S&amp;P 500 is premature.</w:t>
      </w:r>
    </w:p>
    <w:p>
      <w:pPr>
        <w:pStyle w:val="Heading1"/>
        <w:pageBreakBefore/>
        <w:spacing w:after="240" w:before="360"/>
      </w:pPr>
      <w:r>
        <w:rPr>
          <w:rFonts w:ascii="Arial" w:cs="Arial" w:eastAsia="Arial" w:hAnsi="Arial"/>
          <w:b/>
          <w:bCs/>
          <w:sz w:val="36"/>
          <w:szCs w:val="36"/>
        </w:rPr>
        <w:t xml:space="preserve">2. Methodology</w:t>
      </w:r>
    </w:p>
    <w:p>
      <w:pPr>
        <w:pStyle w:val="Heading2"/>
        <w:spacing w:after="180" w:before="280"/>
      </w:pPr>
      <w:r>
        <w:rPr>
          <w:rFonts w:ascii="Arial" w:cs="Arial" w:eastAsia="Arial" w:hAnsi="Arial"/>
          <w:b/>
          <w:bCs/>
          <w:sz w:val="28"/>
          <w:szCs w:val="28"/>
        </w:rPr>
        <w:t xml:space="preserve">2.1  Sampling</w:t>
      </w:r>
    </w:p>
    <w:p>
      <w:pPr>
        <w:spacing w:after="120"/>
      </w:pPr>
      <w:r>
        <w:rPr>
          <w:rFonts w:ascii="Arial" w:cs="Arial" w:eastAsia="Arial" w:hAnsi="Arial"/>
          <w:b/>
          <w:bCs/>
          <w:sz w:val="22"/>
          <w:szCs w:val="22"/>
        </w:rPr>
        <w:t xml:space="preserve">Universe: </w:t>
      </w:r>
      <w:r>
        <w:rPr>
          <w:rFonts w:ascii="Arial" w:cs="Arial" w:eastAsia="Arial" w:hAnsi="Arial"/>
          <w:sz w:val="22"/>
          <w:szCs w:val="22"/>
        </w:rPr>
        <w:t xml:space="preserve">HeliosIndexConstituents.getSP500() — 494 current S&amp;P 500 constituents, canonicalized alphabetically by ticker.</w:t>
      </w:r>
    </w:p>
    <w:p>
      <w:pPr>
        <w:spacing w:after="120"/>
      </w:pPr>
      <w:r>
        <w:rPr>
          <w:rFonts w:ascii="Arial" w:cs="Arial" w:eastAsia="Arial" w:hAnsi="Arial"/>
          <w:b/>
          <w:bCs/>
          <w:sz w:val="22"/>
          <w:szCs w:val="22"/>
        </w:rPr>
        <w:t xml:space="preserve">Draw: </w:t>
      </w:r>
      <w:r>
        <w:rPr>
          <w:rFonts w:ascii="Arial" w:cs="Arial" w:eastAsia="Arial" w:hAnsi="Arial"/>
          <w:sz w:val="22"/>
          <w:szCs w:val="22"/>
        </w:rPr>
        <w:t xml:space="preserve">Fixed-seed Mulberry32 PRNG (seed = 42) + Fisher–Yates shuffle, first 25% of the shuffled ticker list taken as the sample. This produces a byte-identical sample across re-runs so long as the underlying index composition does not change. Sample size: 124. Sector distribution preserved (no stratification applied; sample inherits the index’s sector weights).</w:t>
      </w:r>
    </w:p>
    <w:p>
      <w:pPr>
        <w:spacing w:after="120"/>
      </w:pPr>
      <w:r>
        <w:rPr>
          <w:rFonts w:ascii="Arial" w:cs="Arial" w:eastAsia="Arial" w:hAnsi="Arial"/>
          <w:b/>
          <w:bCs/>
          <w:sz w:val="22"/>
          <w:szCs w:val="22"/>
        </w:rPr>
        <w:t xml:space="preserve">Pilot subset: </w:t>
      </w:r>
      <w:r>
        <w:rPr>
          <w:rFonts w:ascii="Arial" w:cs="Arial" w:eastAsia="Arial" w:hAnsi="Arial"/>
          <w:sz w:val="22"/>
          <w:szCs w:val="22"/>
        </w:rPr>
        <w:t xml:space="preserve">The 124-ticker sample was restricted to 31 non-financial / non-REIT / non-utility names for which hand-curated FY2024 financial-data payloads could be constructed to within the +/-5-10% on balance-sheet, +/-3% on P&amp;L precision band. The subset is not probability-weighted; it is the authors’ best-effort mega/large-cap slice chosen for financial-statement quality. Out-of-scope buckets: banks_and_broker_dealers, insurers_P_and_C, REITs, rate_regulated_utilities.</w:t>
      </w:r>
    </w:p>
    <w:p>
      <w:pPr>
        <w:pStyle w:val="Heading2"/>
        <w:spacing w:after="180" w:before="280"/>
      </w:pPr>
      <w:r>
        <w:rPr>
          <w:rFonts w:ascii="Arial" w:cs="Arial" w:eastAsia="Arial" w:hAnsi="Arial"/>
          <w:b/>
          <w:bCs/>
          <w:sz w:val="28"/>
          <w:szCs w:val="28"/>
        </w:rPr>
        <w:t xml:space="preserve">2.2  Input Construction</w:t>
      </w:r>
    </w:p>
    <w:p>
      <w:pPr>
        <w:spacing w:after="120"/>
      </w:pPr>
      <w:r>
        <w:t xml:space="preserve">Each ticker’s financial-data payload was hand-curated from public 10-K disclosures (FY2024 or latest-available) and includes: revenue, EBITDA, EBIT, net income, interest expense, D&amp;A, CFO, capex, dividends, total debt, cash, total assets, total equity, goodwill/intangibles, operating-lease liability (for B4-1 ASC 842 capitalization), non-recourse debt (for B4-3 VIE consolidation), current ratio, accounting mode, and qualitative mode. All values are in millions USD. accounting_mode defaults to "gaap" (conservative consolidation, post-B4-3 audit fix) and qual_mode="auto" delegates industry/position inference to estimateQualitative().</w:t>
      </w:r>
    </w:p>
    <w:p>
      <w:pPr>
        <w:spacing w:after="120"/>
      </w:pPr>
      <w:r>
        <w:rPr>
          <w:rFonts w:ascii="Arial" w:cs="Arial" w:eastAsia="Arial" w:hAnsi="Arial"/>
          <w:b/>
          <w:bCs/>
          <w:sz w:val="22"/>
          <w:szCs w:val="22"/>
        </w:rPr>
        <w:t xml:space="preserve">Precision disclosure: </w:t>
      </w:r>
      <w:r>
        <w:rPr>
          <w:rFonts w:ascii="Arial" w:cs="Arial" w:eastAsia="Arial" w:hAnsi="Arial"/>
          <w:sz w:val="22"/>
          <w:szCs w:val="22"/>
        </w:rPr>
        <w:t xml:space="preserve">+/-5-10% on balance-sheet, +/-3% on P&amp;L. Every row emitted a balance-sheet-gap warning because hand-curated inputs omit non-debt liabilities (accounts payable, accrued expenses, deferred taxes, non-capitalized-lease obligations, benefit plan deficits). The engine’s validateBalanceSheet() check issues non-fatal warnings when |implied liabilities − total debt| / total assets &gt; 10%; this threshold is routinely exceeded by real issuers when reconstructed from a reduced input schema. The warning does not affect rating output — the engine consumes the inputs it is given.</w:t>
      </w:r>
    </w:p>
    <w:p>
      <w:pPr>
        <w:pStyle w:val="Heading2"/>
        <w:spacing w:after="180" w:before="280"/>
      </w:pPr>
      <w:r>
        <w:rPr>
          <w:rFonts w:ascii="Arial" w:cs="Arial" w:eastAsia="Arial" w:hAnsi="Arial"/>
          <w:b/>
          <w:bCs/>
          <w:sz w:val="28"/>
          <w:szCs w:val="28"/>
        </w:rPr>
        <w:t xml:space="preserve">2.3  Execution Path</w:t>
      </w:r>
    </w:p>
    <w:p>
      <w:pPr>
        <w:spacing w:after="120"/>
      </w:pPr>
      <w:r>
        <w:t xml:space="preserve">Each ticker was rated via a direct Node subprocess invocation of rate_ticker_cli.js — the same CLI that backs the /api/rate/{ticker} HTTP surface (API-1 / task #317). STDIN carried a JSON envelope { ticker, company_name, financials, options }; STDOUT returned exactly one line of envelope JSON per the CLI contract. Per-ticker timeout: 60 seconds. include_raw_result=true was set so the metrics module has full access to composite score, PD/LGD, and limitations block.</w:t>
      </w:r>
    </w:p>
    <w:p>
      <w:pPr>
        <w:spacing w:after="120"/>
      </w:pPr>
      <w:r>
        <w:t xml:space="preserve">The runner (backtest_runner.js) appends envelopes to results/envelopes.jsonl (one JSON object per line) and writes a summary manifest to results/run_manifest.json. The metrics module (metrics.js) is a pure function of envelopes.jsonl — re-running analyses does not require re-spawning the rating subprocesses. This separation of collection from analysis is intentional to support calibration iteration without re-paying engine compute cost.</w:t>
      </w:r>
    </w:p>
    <w:p>
      <w:pPr>
        <w:pStyle w:val="Heading2"/>
        <w:spacing w:after="180" w:before="280"/>
      </w:pPr>
      <w:r>
        <w:rPr>
          <w:rFonts w:ascii="Arial" w:cs="Arial" w:eastAsia="Arial" w:hAnsi="Arial"/>
          <w:b/>
          <w:bCs/>
          <w:sz w:val="28"/>
          <w:szCs w:val="28"/>
        </w:rPr>
        <w:t xml:space="preserve">2.4  Ground Truth</w:t>
      </w:r>
    </w:p>
    <w:p>
      <w:pPr>
        <w:spacing w:after="120"/>
      </w:pPr>
      <w:r>
        <w:t xml:space="preserve">Actual agency ratings are drawn from sp500_ground_truth_ratings.json (31 pilot tickers; full file contains 216 entries). Each entry carries S&amp;P, Moody’s, and (where applicable) Fitch long-term issuer ratings as of the ground-truth file's stated as-of date. Coverage on the pilot subset: 31/31 S&amp;P, 31/31 Moody’s, 2/31 Fitch. Fitch comparisons are reported but not emphasized due to the thin n.</w:t>
      </w:r>
    </w:p>
    <w:p>
      <w:pPr>
        <w:spacing w:after="120"/>
      </w:pPr>
      <w:r>
        <w:t xml:space="preserve">The ratings used are long-term issuer credit ratings (LTICR) — not issue-level, not shadow, not outlook-adjusted. This is the fairest comparison to Helios’ composite output, which is also an issuer-level through-the-cycle number.</w:t>
      </w:r>
    </w:p>
    <w:p>
      <w:pPr>
        <w:pStyle w:val="Heading2"/>
        <w:spacing w:after="180" w:before="280"/>
      </w:pPr>
      <w:r>
        <w:rPr>
          <w:rFonts w:ascii="Arial" w:cs="Arial" w:eastAsia="Arial" w:hAnsi="Arial"/>
          <w:b/>
          <w:bCs/>
          <w:sz w:val="28"/>
          <w:szCs w:val="28"/>
        </w:rPr>
        <w:t xml:space="preserve">2.5  Delta &amp; Scale Convention</w:t>
      </w:r>
    </w:p>
    <w:p>
      <w:pPr>
        <w:spacing w:after="120"/>
      </w:pPr>
      <w:r>
        <w:t xml:space="preserve">All deltas use the 21-notch S&amp;P scale aligned across agencies: AAA=1 … BBB=9 … BB=12 … CCC=18 … D=22. Moody’s mapping: Aaa=1 … Baa2=9 … Ba2=12 … Caa2=18 … C=21. Fitch uses S&amp;P notation. The delta convention is:</w:t>
      </w:r>
    </w:p>
    <w:p>
      <w:pPr>
        <w:spacing w:after="120"/>
      </w:pPr>
      <w:r>
        <w:rPr>
          <w:rFonts w:ascii="Courier New" w:cs="Courier New" w:eastAsia="Courier New" w:hAnsi="Courier New"/>
          <w:b/>
          <w:bCs/>
          <w:sz w:val="22"/>
          <w:szCs w:val="22"/>
        </w:rPr>
        <w:t xml:space="preserve">Δ = notch(Helios) − notch(GroundTruth). </w:t>
      </w:r>
      <w:r>
        <w:rPr>
          <w:rFonts w:ascii="Arial" w:cs="Arial" w:eastAsia="Arial" w:hAnsi="Arial"/>
          <w:sz w:val="22"/>
          <w:szCs w:val="22"/>
        </w:rPr>
        <w:t xml:space="preserve">Positive Δ → Helios rates LOWER (more conservative) than the agency. Negative Δ → Helios rates HIGHER (more optimistic). This matches the existing Drift Monitor convention ("positive notchDelta = downgrade").</w:t>
      </w:r>
    </w:p>
    <w:p>
      <w:pPr>
        <w:pStyle w:val="Heading1"/>
        <w:pageBreakBefore/>
        <w:spacing w:after="240" w:before="360"/>
      </w:pPr>
      <w:r>
        <w:rPr>
          <w:rFonts w:ascii="Arial" w:cs="Arial" w:eastAsia="Arial" w:hAnsi="Arial"/>
          <w:b/>
          <w:bCs/>
          <w:sz w:val="36"/>
          <w:szCs w:val="36"/>
        </w:rPr>
        <w:t xml:space="preserve">3. Headline Results</w:t>
      </w:r>
    </w:p>
    <w:p>
      <w:pPr>
        <w:spacing w:after="120"/>
      </w:pPr>
      <w:r>
        <w:t xml:space="preserve">All 31/31 tickers in the pilot subset were rated successfully. Zero subprocess failures, zero envelope-parse errors, zero timeouts. Wall-clock time for the 31-ticker run: 1.8 seconds.</w:t>
      </w:r>
    </w:p>
    <w:p>
      <w:pPr>
        <w:pStyle w:val="Heading2"/>
        <w:spacing w:after="180" w:before="280"/>
      </w:pPr>
      <w:r>
        <w:rPr>
          <w:rFonts w:ascii="Arial" w:cs="Arial" w:eastAsia="Arial" w:hAnsi="Arial"/>
          <w:b/>
          <w:bCs/>
          <w:sz w:val="28"/>
          <w:szCs w:val="28"/>
        </w:rPr>
        <w:t xml:space="preserve">3.1  Summary Statistics Across All Rating Surfaces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740"/>
        <w:gridCol w:w="1740"/>
        <w:gridCol w:w="1740"/>
        <w:gridCol w:w="1740"/>
      </w:tblGrid>
      <w:tr>
        <w:tc>
          <w:tcPr>
            <w:tcW w:type="dxa" w:w="2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Statistic</w:t>
            </w:r>
          </w:p>
        </w:tc>
        <w:tc>
          <w:tcPr>
            <w:tcW w:type="dxa" w:w="17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reported vs S&amp;P</w:t>
            </w:r>
          </w:p>
        </w:tc>
        <w:tc>
          <w:tcPr>
            <w:tcW w:type="dxa" w:w="17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adjusted vs S&amp;P</w:t>
            </w:r>
          </w:p>
        </w:tc>
        <w:tc>
          <w:tcPr>
            <w:tcW w:type="dxa" w:w="17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ratings.sp vs S&amp;P</w:t>
            </w:r>
          </w:p>
        </w:tc>
        <w:tc>
          <w:tcPr>
            <w:tcW w:type="dxa" w:w="17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ratings.moodys vs Moody’s</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n</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31</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Mean Δ</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+0.68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+0.68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+0.94</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+0.32</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Median Δ</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MAE (notches)</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2.61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2.61</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3.52</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2.13</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RMSE (notches)</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3.28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3.28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4.45</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2.69</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St. Dev</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3.26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3.26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4.43</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2.71</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Min Δ</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-6</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Max Δ</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+12</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+6</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Exact matches</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 (9.7%)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 (9.7%)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 (9.7%)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 (12.9%)</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Within ±1 notch</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12 (38.7%)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12 (38.7%)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7 (22.6%)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14 (45.2%)</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Within ±2 notch</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16 (51.6%)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16 (51.6%)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14 (45.2%)</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20 (64.5%)</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Within ±3 notch</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22 (71.0%)</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22 (71.0%)</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17 (54.8%)</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25 (80.6%)</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Beyond ±3 notch</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9</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9</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14</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6</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Optimistic (Δ&lt;0)</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12 (38.7%)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12 (38.7%)</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13 (41.9%)</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10 (32.3%)</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Pessimistic (Δ&gt;0)</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16 (51.6%)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16 (51.6%)</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15 (48.4%)</w:t>
            </w:r>
          </w:p>
        </w:tc>
        <w:tc>
          <w:tcPr>
            <w:tcW w:type="dxa" w:w="17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17 (54.8%)</w:t>
            </w:r>
          </w:p>
        </w:tc>
      </w:tr>
    </w:tbl>
    <w:p>
      <w:pPr>
        <w:spacing w:after="100"/>
      </w:pPr>
      <w:r>
        <w:t xml:space="preserve"/>
      </w:r>
    </w:p>
    <w:p>
      <w:pPr>
        <w:spacing w:after="120"/>
      </w:pPr>
      <w:r>
        <w:t xml:space="preserve">The "reported" and "adjusted" columns are identical across the pilot because none of the hand-curated inputs carried OBS disclosures that would trigger the X-2 counterpart-basis adjustment. The "ratings.sp" column is the engine’s S&amp;P-methodology-specific output (FRP/CICRA path, pre-blend), and "ratings.moodys" is the Moody’s-methodology output. The blended "reported" column (weights 35/35/30 per X-15) is the canonical Helios output and is the primary comparand.</w:t>
      </w:r>
    </w:p>
    <w:p>
      <w:pPr>
        <w:pStyle w:val="Heading2"/>
        <w:spacing w:after="180" w:before="280"/>
      </w:pPr>
      <w:r>
        <w:rPr>
          <w:rFonts w:ascii="Arial" w:cs="Arial" w:eastAsia="Arial" w:hAnsi="Arial"/>
          <w:b/>
          <w:bCs/>
          <w:sz w:val="28"/>
          <w:szCs w:val="28"/>
        </w:rPr>
        <w:t xml:space="preserve">3.2  Rank Correlation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2340"/>
        <w:gridCol w:w="2340"/>
      </w:tblGrid>
      <w:tr>
        <w:tc>
          <w:tcPr>
            <w:tcW w:type="dxa" w:w="468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Comparison</w:t>
            </w:r>
          </w:p>
        </w:tc>
        <w:tc>
          <w:tcPr>
            <w:tcW w:type="dxa" w:w="23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Spearman ρ</w:t>
            </w:r>
          </w:p>
        </w:tc>
        <w:tc>
          <w:tcPr>
            <w:tcW w:type="dxa" w:w="23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Pearson r</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composite_score (continuous) vs GT S&amp;P notch</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0.523</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0.510</w:t>
            </w:r>
          </w:p>
        </w:tc>
      </w:tr>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reported rating (notch) vs GT S&amp;P notch</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0.518</w:t>
            </w:r>
          </w:p>
        </w:tc>
        <w:tc>
          <w:tcPr>
            <w:tcW w:type="dxa" w:w="23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0.507</w:t>
            </w:r>
          </w:p>
        </w:tc>
      </w:tr>
    </w:tbl>
    <w:p>
      <w:pPr>
        <w:spacing w:after="100"/>
      </w:pPr>
      <w:r>
        <w:t xml:space="preserve"/>
      </w:r>
    </w:p>
    <w:p>
      <w:pPr>
        <w:spacing w:after="120"/>
      </w:pPr>
      <w:r>
        <w:t xml:space="preserve">Rank correlation measures whether Helios ranks issuers in the same order as S&amp;P — independent of any systematic level bias. Spearman ρ ≈ 0.52 on n=31 is statistically detectable (two-tailed p ≈ 0.003) but leaves meaningful dispersion. By comparison, cross-agency rank correlations across S&amp;P, Moody’s, and Fitch on a broad corporate universe typically run 0.85–0.95. Helios has real directional signal but the rank-ordering precision is still well below agency-consensus quality.</w:t>
      </w:r>
    </w:p>
    <w:p>
      <w:pPr>
        <w:spacing w:after="120"/>
      </w:pPr>
      <w:r>
        <w:t xml:space="preserve">The composite_score vs notch and reported-rating vs notch correlations are essentially identical (0.523 vs 0.518), indicating that the PI score → letter mapping is not destroying rank information. The leakage point for the missing correlation is in the quantitative-to-qualitative blend at the composite_score level, not in the letter-assignment step.</w:t>
      </w:r>
    </w:p>
    <w:p>
      <w:pPr>
        <w:pStyle w:val="Heading1"/>
        <w:pageBreakBefore/>
        <w:spacing w:after="240" w:before="360"/>
      </w:pPr>
      <w:r>
        <w:rPr>
          <w:rFonts w:ascii="Arial" w:cs="Arial" w:eastAsia="Arial" w:hAnsi="Arial"/>
          <w:b/>
          <w:bCs/>
          <w:sz w:val="36"/>
          <w:szCs w:val="36"/>
        </w:rPr>
        <w:t xml:space="preserve">4. Tier-1 Confusion Matrix</w:t>
      </w:r>
    </w:p>
    <w:p>
      <w:pPr>
        <w:spacing w:after="120"/>
      </w:pPr>
      <w:r>
        <w:t xml:space="preserve">Rows = Helios bucket, columns = S&amp;P ground-truth bucket. Diagonal cells (green-shaded) are exact-bucket agreement. Off-diagonal cells show mis-bucketing directionality: cells above the diagonal are where Helios is more conservative (rated the issuer lower than S&amp;P), cells below the diagonal are where Helios is more optimistic (rated the issuer higher). Total: 31. Diagonal hits: 9 (29.0%).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1226"/>
        <w:gridCol w:w="1226"/>
        <w:gridCol w:w="1226"/>
        <w:gridCol w:w="1226"/>
        <w:gridCol w:w="1226"/>
        <w:gridCol w:w="1226"/>
      </w:tblGrid>
      <w:tr>
        <w:tc>
          <w:tcPr>
            <w:tcW w:type="dxa" w:w="20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Helios ↓ / GT →</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AAA/AA</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B</w:t>
            </w:r>
          </w:p>
        </w:tc>
        <w:tc>
          <w:tcPr>
            <w:tcW w:type="dxa" w:w="1226"/>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CCC/lower</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AAA/AA</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A</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26"/>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3</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5</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BBB</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w:t>
            </w:r>
          </w:p>
        </w:tc>
        <w:tc>
          <w:tcPr>
            <w:tcW w:type="dxa" w:w="1226"/>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4</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BB</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26"/>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2</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B</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pPr>
              <w:spacing w:after="0"/>
              <w:jc w:val="left"/>
            </w:pPr>
            <w:r>
              <w:rPr>
                <w:rFonts w:ascii="Arial" w:cs="Arial" w:eastAsia="Arial" w:hAnsi="Arial"/>
                <w:b/>
                <w:bCs/>
                <w:sz w:val="20"/>
                <w:szCs w:val="20"/>
              </w:rPr>
              <w:t xml:space="preserve">CCC/lower</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c>
          <w:tcPr>
            <w:tcW w:type="dxa" w:w="1226"/>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w:t>
            </w:r>
          </w:p>
        </w:tc>
      </w:tr>
    </w:tbl>
    <w:p>
      <w:pPr>
        <w:spacing w:after="100"/>
      </w:pPr>
      <w:r>
        <w:t xml:space="preserve"/>
      </w:r>
    </w:p>
    <w:p>
      <w:pPr>
        <w:pStyle w:val="Heading2"/>
        <w:spacing w:after="180" w:before="280"/>
      </w:pPr>
      <w:r>
        <w:rPr>
          <w:rFonts w:ascii="Arial" w:cs="Arial" w:eastAsia="Arial" w:hAnsi="Arial"/>
          <w:b/>
          <w:bCs/>
          <w:sz w:val="28"/>
          <w:szCs w:val="28"/>
        </w:rPr>
        <w:t xml:space="preserve">4.1  Interpreting the Confusion Matrix</w:t>
      </w:r>
    </w:p>
    <w:p>
      <w:pPr>
        <w:pStyle w:val="ListParagraph"/>
        <w:numPr>
          <w:ilvl w:val="0"/>
          <w:numId w:val="2"/>
        </w:numPr>
        <w:spacing w:after="60"/>
      </w:pPr>
      <w:r>
        <w:rPr>
          <w:rFonts w:ascii="Arial" w:cs="Arial" w:eastAsia="Arial" w:hAnsi="Arial"/>
          <w:sz w:val="22"/>
          <w:szCs w:val="22"/>
        </w:rPr>
        <w:t xml:space="preserve">The matrix is upper-triangular-heavy: more mass is above the diagonal (pessimistic) than below (optimistic). This confirms the modest conservative bias already visible in the mean Δ statistic.</w:t>
      </w:r>
    </w:p>
    <w:p>
      <w:pPr>
        <w:pStyle w:val="ListParagraph"/>
        <w:numPr>
          <w:ilvl w:val="0"/>
          <w:numId w:val="2"/>
        </w:numPr>
        <w:spacing w:after="60"/>
      </w:pPr>
      <w:r>
        <w:rPr>
          <w:rFonts w:ascii="Arial" w:cs="Arial" w:eastAsia="Arial" w:hAnsi="Arial"/>
          <w:sz w:val="22"/>
          <w:szCs w:val="22"/>
        </w:rPr>
        <w:t xml:space="preserve">The AAA/AA ground-truth column shows zero Helios hits — the 2 actual AAA/AA issuers in the pilot (PG at AA-, WMT at AA) were both rated A-tier by Helios. Helios does not currently issue AAA-tier ratings in the corporate path; the highest-cohort-rated issuers (LEN, ZTS) in our pilot received AA-tier from Helios but are actually BBB-tier at S&amp;P.</w:t>
      </w:r>
    </w:p>
    <w:p>
      <w:pPr>
        <w:pStyle w:val="ListParagraph"/>
        <w:numPr>
          <w:ilvl w:val="0"/>
          <w:numId w:val="2"/>
        </w:numPr>
        <w:spacing w:after="60"/>
      </w:pPr>
      <w:r>
        <w:rPr>
          <w:rFonts w:ascii="Arial" w:cs="Arial" w:eastAsia="Arial" w:hAnsi="Arial"/>
          <w:sz w:val="22"/>
          <w:szCs w:val="22"/>
        </w:rPr>
        <w:t xml:space="preserve">The largest individual cells are [A, A]=3 (correct) and [BBB, BBB]=4 (correct), with [A, BBB]=5 (Helios too generous: rated them A when S&amp;P says BBB) and [BBB, A]=4 (Helios too conservative: rated them BBB when S&amp;P says A).</w:t>
      </w:r>
    </w:p>
    <w:p>
      <w:pPr>
        <w:pStyle w:val="ListParagraph"/>
        <w:numPr>
          <w:ilvl w:val="0"/>
          <w:numId w:val="2"/>
        </w:numPr>
        <w:spacing w:after="60"/>
      </w:pPr>
      <w:r>
        <w:rPr>
          <w:rFonts w:ascii="Arial" w:cs="Arial" w:eastAsia="Arial" w:hAnsi="Arial"/>
          <w:sz w:val="22"/>
          <w:szCs w:val="22"/>
        </w:rPr>
        <w:t xml:space="preserve">Two ratings dropped two coarse tiers (CCC/lower row, BBB column) — these are the BA and TTWO cases (§8).</w:t>
      </w:r>
    </w:p>
    <w:p>
      <w:pPr>
        <w:pStyle w:val="ListParagraph"/>
        <w:numPr>
          <w:ilvl w:val="0"/>
          <w:numId w:val="2"/>
        </w:numPr>
        <w:spacing w:after="60"/>
      </w:pPr>
      <w:r>
        <w:rPr>
          <w:rFonts w:ascii="Arial" w:cs="Arial" w:eastAsia="Arial" w:hAnsi="Arial"/>
          <w:sz w:val="22"/>
          <w:szCs w:val="22"/>
        </w:rPr>
        <w:t xml:space="preserve">No issuer was mis-ranked by more than two coarse tiers in either direction.</w:t>
      </w:r>
    </w:p>
    <w:p>
      <w:pPr>
        <w:pStyle w:val="Heading1"/>
        <w:pageBreakBefore/>
        <w:spacing w:after="240" w:before="360"/>
      </w:pPr>
      <w:r>
        <w:rPr>
          <w:rFonts w:ascii="Arial" w:cs="Arial" w:eastAsia="Arial" w:hAnsi="Arial"/>
          <w:b/>
          <w:bCs/>
          <w:sz w:val="36"/>
          <w:szCs w:val="36"/>
        </w:rPr>
        <w:t xml:space="preserve">5. Per-Sector Bias</w:t>
      </w:r>
    </w:p>
    <w:p>
      <w:pPr>
        <w:spacing w:after="120"/>
      </w:pPr>
      <w:r>
        <w:t xml:space="preserve">Mean signed delta by GICS sector, using the blended reported rating vs S&amp;P ground truth. Cell coloring: green = |mean Δ| ≤ 1 notch (well-calibrated), amber = 1 &lt; |mean Δ| ≤ 2 (mild bias), red = &gt; 2 (material bias).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800"/>
        <w:gridCol w:w="1200"/>
        <w:gridCol w:w="1200"/>
        <w:gridCol w:w="1200"/>
        <w:gridCol w:w="2160"/>
      </w:tblGrid>
      <w:tr>
        <w:tc>
          <w:tcPr>
            <w:tcW w:type="dxa" w:w="28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Sector</w:t>
            </w:r>
          </w:p>
        </w:tc>
        <w:tc>
          <w:tcPr>
            <w:tcW w:type="dxa" w:w="8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12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Mean Δ</w:t>
            </w:r>
          </w:p>
        </w:tc>
        <w:tc>
          <w:tcPr>
            <w:tcW w:type="dxa" w:w="12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Median Δ</w:t>
            </w:r>
          </w:p>
        </w:tc>
        <w:tc>
          <w:tcPr>
            <w:tcW w:type="dxa" w:w="12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MAE</w:t>
            </w:r>
          </w:p>
        </w:tc>
        <w:tc>
          <w:tcPr>
            <w:tcW w:type="dxa" w:w="216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Tickers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Healthcare</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+0.56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2.78</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ABBV, AMGN, BDX, CI, DHR, ELV, HCA, MRK, ZTS</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Industrials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7</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+0.43</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1.86</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BA, CMI, CSX, DAL, ETN, HWM, MMM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Consumer Staples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+2.50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2.50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ADM, KHC, PG, WMT</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Communication Services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+3.00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3.50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CHTR, PARA, T, TTWO</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Technology</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-1.50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1.50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AMAT, ORCL</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Consumer Discretionary</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-3.00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3.00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LEN, YUM</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Energy</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-1.00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4.00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OKE, OXY</w:t>
            </w:r>
          </w:p>
        </w:tc>
      </w:tr>
      <w:tr>
        <w:tc>
          <w:tcPr>
            <w:tcW w:type="dxa" w:w="2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20"/>
                <w:szCs w:val="20"/>
              </w:rPr>
              <w:t xml:space="preserve">Materials</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+2.00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2.00</w:t>
            </w:r>
          </w:p>
        </w:tc>
        <w:tc>
          <w:tcPr>
            <w:tcW w:type="dxa" w:w="21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APD</w:t>
            </w:r>
          </w:p>
        </w:tc>
      </w:tr>
    </w:tbl>
    <w:p>
      <w:pPr>
        <w:spacing w:after="100"/>
      </w:pPr>
      <w:r>
        <w:t xml:space="preserve"/>
      </w:r>
    </w:p>
    <w:p>
      <w:pPr>
        <w:pStyle w:val="Heading2"/>
        <w:spacing w:after="180" w:before="280"/>
      </w:pPr>
      <w:r>
        <w:rPr>
          <w:rFonts w:ascii="Arial" w:cs="Arial" w:eastAsia="Arial" w:hAnsi="Arial"/>
          <w:b/>
          <w:bCs/>
          <w:sz w:val="28"/>
          <w:szCs w:val="28"/>
        </w:rPr>
        <w:t xml:space="preserve">5.1  Sector Observations</w:t>
      </w:r>
    </w:p>
    <w:p>
      <w:pPr>
        <w:pStyle w:val="ListParagraph"/>
        <w:numPr>
          <w:ilvl w:val="0"/>
          <w:numId w:val="2"/>
        </w:numPr>
        <w:spacing w:after="60"/>
      </w:pPr>
      <w:r>
        <w:rPr>
          <w:rFonts w:ascii="Arial" w:cs="Arial" w:eastAsia="Arial" w:hAnsi="Arial"/>
          <w:sz w:val="22"/>
          <w:szCs w:val="22"/>
        </w:rPr>
        <w:t xml:space="preserve">Communication Services (+3.00 mean Δ, n=4) is the most pessimistically-biased sector. Driven by CHTR (BB+ cable-levered capital structure vs S&amp;P BB+ agreement), PARA (stressed cable/streaming balance sheet), T (legacy telco deleveraging), and TTWO (pre-GTA6 cash flow trough). The agencies absorb the TTC cyclicality these names are experiencing; Helios reads the spot metrics and marks them down.</w:t>
      </w:r>
    </w:p>
    <w:p>
      <w:pPr>
        <w:pStyle w:val="ListParagraph"/>
        <w:numPr>
          <w:ilvl w:val="0"/>
          <w:numId w:val="2"/>
        </w:numPr>
        <w:spacing w:after="60"/>
      </w:pPr>
      <w:r>
        <w:rPr>
          <w:rFonts w:ascii="Arial" w:cs="Arial" w:eastAsia="Arial" w:hAnsi="Arial"/>
          <w:sz w:val="22"/>
          <w:szCs w:val="22"/>
        </w:rPr>
        <w:t xml:space="preserve">Consumer Staples (+2.50, n=4) is the strongest candidate for a methodology overlay. PG (AA- agency vs A Helios), WMT (AA agency vs A- Helios), KHC (BBB- agency vs BB+ Helios), ADM (A agency vs BBB Helios). All four get the "defensive mega-cap" discount at the rating committees that the Helios quantitative composite is not capturing. This is the highest-ROI calibration target.</w:t>
      </w:r>
    </w:p>
    <w:p>
      <w:pPr>
        <w:pStyle w:val="ListParagraph"/>
        <w:numPr>
          <w:ilvl w:val="0"/>
          <w:numId w:val="2"/>
        </w:numPr>
        <w:spacing w:after="60"/>
      </w:pPr>
      <w:r>
        <w:rPr>
          <w:rFonts w:ascii="Arial" w:cs="Arial" w:eastAsia="Arial" w:hAnsi="Arial"/>
          <w:sz w:val="22"/>
          <w:szCs w:val="22"/>
        </w:rPr>
        <w:t xml:space="preserve">Industrials (+0.43, n=7) is the best-calibrated sector after excluding BA as a stressed outlier. MMM exact-match (A-). CSX, CMI, ETN, HWM within 1 notch. DAL within 2 notches. BA alone drives the mean Δ upward materially.</w:t>
      </w:r>
    </w:p>
    <w:p>
      <w:pPr>
        <w:pStyle w:val="ListParagraph"/>
        <w:numPr>
          <w:ilvl w:val="0"/>
          <w:numId w:val="2"/>
        </w:numPr>
        <w:spacing w:after="60"/>
      </w:pPr>
      <w:r>
        <w:rPr>
          <w:rFonts w:ascii="Arial" w:cs="Arial" w:eastAsia="Arial" w:hAnsi="Arial"/>
          <w:sz w:val="22"/>
          <w:szCs w:val="22"/>
        </w:rPr>
        <w:t xml:space="preserve">Healthcare (+0.56 mean, MAE 2.78, n=9) is the largest-n sector. Managed care is systematically under-rated (CI BB+ vs A-, ELV BBB- vs A) — their earnings stability and regulated-utility-like economics are not captured in a pure corporate-credit framework. Biotech/pharma (ABBV, AMGN, MRK) within 2–3 notches. Device and diagnostic (BDX, DHR, ZTS) more optimistically biased.</w:t>
      </w:r>
    </w:p>
    <w:p>
      <w:pPr>
        <w:pStyle w:val="ListParagraph"/>
        <w:numPr>
          <w:ilvl w:val="0"/>
          <w:numId w:val="2"/>
        </w:numPr>
        <w:spacing w:after="60"/>
      </w:pPr>
      <w:r>
        <w:rPr>
          <w:rFonts w:ascii="Arial" w:cs="Arial" w:eastAsia="Arial" w:hAnsi="Arial"/>
          <w:sz w:val="22"/>
          <w:szCs w:val="22"/>
        </w:rPr>
        <w:t xml:space="preserve">Consumer Discretionary (−3.00, n=2) is materially optimistic — but the sample is just LEN and YUM, and LEN alone drives the mean. LEN’s near-zero net debt plus high cash balance reads as AA to a levered-quant framework; the agency rating reflects homebuilder cyclicality Helios is blind to.</w:t>
      </w:r>
    </w:p>
    <w:p>
      <w:pPr>
        <w:pStyle w:val="ListParagraph"/>
        <w:numPr>
          <w:ilvl w:val="0"/>
          <w:numId w:val="2"/>
        </w:numPr>
        <w:spacing w:after="60"/>
      </w:pPr>
      <w:r>
        <w:rPr>
          <w:rFonts w:ascii="Arial" w:cs="Arial" w:eastAsia="Arial" w:hAnsi="Arial"/>
          <w:sz w:val="22"/>
          <w:szCs w:val="22"/>
        </w:rPr>
        <w:t xml:space="preserve">Energy (−1.00, n=2): OXY (A+ Helios vs BBB- S&amp;P, −5) and APD (BBB+ vs A, +1). OXY is an outlier — a commodity-cyclical issuer rated investment-grade-medium by agencies despite quantitative metrics consistent with a higher tier. Commodity volatility and sovereign/jurisdictional risk overlays that the agency methodology applies are not present in Helios’ corporate path.</w:t>
      </w:r>
    </w:p>
    <w:p>
      <w:pPr>
        <w:spacing w:after="120"/>
      </w:pPr>
      <w:r>
        <w:t xml:space="preserve">Sector-level coverage caveats: Consumer Discretionary, Energy, Materials, and Technology all have n ≤ 2 in the pilot. These means are illustrative, not statistically robust. A full-universe re-run is required before drawing calibration conclusions from the sub-median sectors.</w:t>
      </w:r>
    </w:p>
    <w:p>
      <w:pPr>
        <w:pStyle w:val="Heading1"/>
        <w:pageBreakBefore/>
        <w:spacing w:after="240" w:before="360"/>
      </w:pPr>
      <w:r>
        <w:rPr>
          <w:rFonts w:ascii="Arial" w:cs="Arial" w:eastAsia="Arial" w:hAnsi="Arial"/>
          <w:b/>
          <w:bCs/>
          <w:sz w:val="36"/>
          <w:szCs w:val="36"/>
        </w:rPr>
        <w:t xml:space="preserve">6. Per-GT-Bucket Bias</w:t>
      </w:r>
    </w:p>
    <w:p>
      <w:pPr>
        <w:spacing w:after="120"/>
      </w:pPr>
      <w:r>
        <w:t xml:space="preserve">Mean signed delta by S&amp;P ground-truth coarse bucket. Pattern: Helios is increasingly conservative as the agency rating rises.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900"/>
        <w:gridCol w:w="1400"/>
        <w:gridCol w:w="1400"/>
        <w:gridCol w:w="1400"/>
        <w:gridCol w:w="2260"/>
      </w:tblGrid>
      <w:tr>
        <w:tc>
          <w:tcPr>
            <w:tcW w:type="dxa" w:w="20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GT Bucket</w:t>
            </w:r>
          </w:p>
        </w:tc>
        <w:tc>
          <w:tcPr>
            <w:tcW w:type="dxa" w:w="9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w:t>
            </w:r>
          </w:p>
        </w:tc>
        <w:tc>
          <w:tcPr>
            <w:tcW w:type="dxa" w:w="1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Mean Δ</w:t>
            </w:r>
          </w:p>
        </w:tc>
        <w:tc>
          <w:tcPr>
            <w:tcW w:type="dxa" w:w="1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Median Δ</w:t>
            </w:r>
          </w:p>
        </w:tc>
        <w:tc>
          <w:tcPr>
            <w:tcW w:type="dxa" w:w="1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MAE</w:t>
            </w:r>
          </w:p>
        </w:tc>
        <w:tc>
          <w:tcPr>
            <w:tcW w:type="dxa" w:w="226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Tickers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AAA/AA</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+3.00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3.00</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PG, WMT</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+1.10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+1.5</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2.30</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ABBV, ADM, AMAT, APD, CI, CMI, ELV, ETN, MMM, MRK</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BBB</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14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+0.29</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-0.5</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3.00</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AMGN, BA, BDX, CSX, DHR, HWM, KHC, LEN, OKE, ORCL, OXY, T, TTWO, ZTS</w:t>
            </w:r>
          </w:p>
        </w:tc>
      </w:tr>
      <w:tr>
        <w:tc>
          <w:tcPr>
            <w:tcW w:type="dxa" w:w="20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BB</w:t>
            </w:r>
          </w:p>
        </w:tc>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5</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0.00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0.0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2.00</w:t>
            </w:r>
          </w:p>
        </w:tc>
        <w:tc>
          <w:tcPr>
            <w:tcW w:type="dxa" w:w="22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CHTR, DAL, HCA, PARA, YUM</w:t>
            </w:r>
          </w:p>
        </w:tc>
      </w:tr>
    </w:tbl>
    <w:p>
      <w:pPr>
        <w:spacing w:after="100"/>
      </w:pPr>
      <w:r>
        <w:t xml:space="preserve"/>
      </w:r>
    </w:p>
    <w:p>
      <w:pPr>
        <w:pStyle w:val="ListParagraph"/>
        <w:numPr>
          <w:ilvl w:val="0"/>
          <w:numId w:val="2"/>
        </w:numPr>
        <w:spacing w:after="60"/>
      </w:pPr>
      <w:r>
        <w:rPr>
          <w:rFonts w:ascii="Arial" w:cs="Arial" w:eastAsia="Arial" w:hAnsi="Arial"/>
          <w:sz w:val="22"/>
          <w:szCs w:val="22"/>
        </w:rPr>
        <w:t xml:space="preserve">AAA/AA (n=2): +3.00 mean Δ — Helios systematically fails to issue AA-tier in the corporate path. Both PG and WMT land in A-tier despite agency AA-level. Root cause candidate: the megacap-floor overlay (X-13) stops at BBB- on the low end, but there is no symmetric "mega-cap, defensive-industry, investment-grade-high" overlay on the high end.</w:t>
      </w:r>
    </w:p>
    <w:p>
      <w:pPr>
        <w:pStyle w:val="ListParagraph"/>
        <w:numPr>
          <w:ilvl w:val="0"/>
          <w:numId w:val="2"/>
        </w:numPr>
        <w:spacing w:after="60"/>
      </w:pPr>
      <w:r>
        <w:rPr>
          <w:rFonts w:ascii="Arial" w:cs="Arial" w:eastAsia="Arial" w:hAnsi="Arial"/>
          <w:sz w:val="22"/>
          <w:szCs w:val="22"/>
        </w:rPr>
        <w:t xml:space="preserve">A (n=10): +1.10 mean Δ, MAE 2.30. Best-calibrated tier in absolute-error terms but still mildly pessimistic on average. Several exact matches here (MMM).</w:t>
      </w:r>
    </w:p>
    <w:p>
      <w:pPr>
        <w:pStyle w:val="ListParagraph"/>
        <w:numPr>
          <w:ilvl w:val="0"/>
          <w:numId w:val="2"/>
        </w:numPr>
        <w:spacing w:after="60"/>
      </w:pPr>
      <w:r>
        <w:rPr>
          <w:rFonts w:ascii="Arial" w:cs="Arial" w:eastAsia="Arial" w:hAnsi="Arial"/>
          <w:sz w:val="22"/>
          <w:szCs w:val="22"/>
        </w:rPr>
        <w:t xml:space="preserve">BBB (n=14): +0.29 mean Δ, MAE 3.00. Largest cohort in the pilot, consistent with the S&amp;P 500 bias toward BBB. Mean is well-centered but MAE is the highest of any bucket — BBB issuers scatter widely (both LEN-style upward misses and BA-style downward misses).</w:t>
      </w:r>
    </w:p>
    <w:p>
      <w:pPr>
        <w:pStyle w:val="ListParagraph"/>
        <w:numPr>
          <w:ilvl w:val="0"/>
          <w:numId w:val="2"/>
        </w:numPr>
        <w:spacing w:after="60"/>
      </w:pPr>
      <w:r>
        <w:rPr>
          <w:rFonts w:ascii="Arial" w:cs="Arial" w:eastAsia="Arial" w:hAnsi="Arial"/>
          <w:sz w:val="22"/>
          <w:szCs w:val="22"/>
        </w:rPr>
        <w:t xml:space="preserve">BB (n=5): 0.00 mean Δ. Near-perfect average calibration at the IG/HY boundary. This is a meaningful finding: the X-4 BBB-/BB+ boundary tightener (shipped 2026-04-20) appears to be pulling issuers on the cusp into the right bucket on average.</w:t>
      </w:r>
    </w:p>
    <w:p>
      <w:pPr>
        <w:pStyle w:val="ListParagraph"/>
        <w:numPr>
          <w:ilvl w:val="0"/>
          <w:numId w:val="2"/>
        </w:numPr>
        <w:spacing w:after="60"/>
      </w:pPr>
      <w:r>
        <w:rPr>
          <w:rFonts w:ascii="Arial" w:cs="Arial" w:eastAsia="Arial" w:hAnsi="Arial"/>
          <w:sz w:val="22"/>
          <w:szCs w:val="22"/>
        </w:rPr>
        <w:t xml:space="preserve">B / CCC/lower (n=0 each): No issuers in the pilot carry agency ratings below BB. This is a pilot-subset selection bias (mega-cap S&amp;P 500 names are almost all investment-grade or BB-crossover). Full-universe expansion will add low-end coverage.</w:t>
      </w:r>
    </w:p>
    <w:p>
      <w:pPr>
        <w:pStyle w:val="Heading1"/>
        <w:pageBreakBefore/>
        <w:spacing w:after="240" w:before="360"/>
      </w:pPr>
      <w:r>
        <w:rPr>
          <w:rFonts w:ascii="Arial" w:cs="Arial" w:eastAsia="Arial" w:hAnsi="Arial"/>
          <w:b/>
          <w:bCs/>
          <w:sz w:val="36"/>
          <w:szCs w:val="36"/>
        </w:rPr>
        <w:t xml:space="preserve">7. Largest Deltas — Named Observations</w:t>
      </w:r>
    </w:p>
    <w:p>
      <w:pPr>
        <w:spacing w:after="120"/>
      </w:pPr>
      <w:r>
        <w:t xml:space="preserve">The five largest absolute deltas illustrate specific pattern-classes of Helios vs agency divergence. Each is described below with both the mechanical reading (what the metrics say) and the methodology gap it exposes.</w:t>
      </w:r>
    </w:p>
    <w:p>
      <w:pPr>
        <w:pStyle w:val="Heading3"/>
        <w:spacing w:after="120" w:before="200"/>
      </w:pPr>
      <w:r>
        <w:rPr>
          <w:rFonts w:ascii="Arial" w:cs="Arial" w:eastAsia="Arial" w:hAnsi="Arial"/>
          <w:b/>
          <w:bCs/>
          <w:sz w:val="24"/>
          <w:szCs w:val="24"/>
        </w:rPr>
        <w:t xml:space="preserve">TTWO — Take-Two Interactive Software, Inc.</w:t>
      </w:r>
    </w:p>
    <w:p>
      <w:pPr>
        <w:spacing w:after="120"/>
      </w:pPr>
      <w:r>
        <w:rPr>
          <w:rFonts w:ascii="Arial" w:cs="Arial" w:eastAsia="Arial" w:hAnsi="Arial"/>
          <w:b/>
          <w:bCs/>
          <w:sz w:val="22"/>
          <w:szCs w:val="22"/>
        </w:rPr>
        <w:t xml:space="preserve">Sector: </w:t>
      </w:r>
      <w:r>
        <w:rPr>
          <w:rFonts w:ascii="Arial" w:cs="Arial" w:eastAsia="Arial" w:hAnsi="Arial"/>
          <w:sz w:val="22"/>
          <w:szCs w:val="22"/>
        </w:rPr>
        <w:t xml:space="preserve">Communication Services | </w:t>
      </w:r>
      <w:r>
        <w:rPr>
          <w:rFonts w:ascii="Arial" w:cs="Arial" w:eastAsia="Arial" w:hAnsi="Arial"/>
          <w:b/>
          <w:bCs/>
          <w:sz w:val="22"/>
          <w:szCs w:val="22"/>
        </w:rPr>
        <w:t xml:space="preserve">Helios reported: </w:t>
      </w:r>
      <w:r>
        <w:rPr>
          <w:rFonts w:ascii="Arial" w:cs="Arial" w:eastAsia="Arial" w:hAnsi="Arial"/>
          <w:sz w:val="22"/>
          <w:szCs w:val="22"/>
        </w:rPr>
        <w:t xml:space="preserve">CCC | </w:t>
      </w:r>
      <w:r>
        <w:rPr>
          <w:rFonts w:ascii="Arial" w:cs="Arial" w:eastAsia="Arial" w:hAnsi="Arial"/>
          <w:b/>
          <w:bCs/>
          <w:sz w:val="22"/>
          <w:szCs w:val="22"/>
        </w:rPr>
        <w:t xml:space="preserve">S&amp;P ground truth: </w:t>
      </w:r>
      <w:r>
        <w:rPr>
          <w:rFonts w:ascii="Arial" w:cs="Arial" w:eastAsia="Arial" w:hAnsi="Arial"/>
          <w:sz w:val="22"/>
          <w:szCs w:val="22"/>
        </w:rPr>
        <w:t xml:space="preserve">BBB- | </w:t>
      </w:r>
      <w:r>
        <w:rPr>
          <w:rFonts w:ascii="Arial" w:cs="Arial" w:eastAsia="Arial" w:hAnsi="Arial"/>
          <w:b/>
          <w:bCs/>
          <w:sz w:val="22"/>
          <w:szCs w:val="22"/>
        </w:rPr>
        <w:t xml:space="preserve">Δ: </w:t>
      </w:r>
      <w:r>
        <w:rPr>
          <w:rFonts w:ascii="Arial" w:cs="Arial" w:eastAsia="Arial" w:hAnsi="Arial"/>
          <w:b/>
          <w:bCs/>
          <w:color w:val="C00000"/>
          <w:sz w:val="22"/>
          <w:szCs w:val="22"/>
        </w:rPr>
        <w:t xml:space="preserve">+8 notches (pessimistic)</w:t>
      </w:r>
    </w:p>
    <w:p>
      <w:pPr>
        <w:spacing w:after="120"/>
      </w:pPr>
      <w:r>
        <w:t xml:space="preserve">Take-Two Interactive. Pre-GTA6-launch cash flow trough drives EBITDA/interest compression into distressed territory on a point-in-time basis. Agencies anchor to through-the-cycle franchise value (NBA 2K, Red Dead, GTA) and the near-certain step-function in FY2026+ revenue. Helios composite has no mechanism for "imminent pipeline catalyst" credit uplift. Classic case for the pitAdjustmentGuidance referenced in X-10.</w:t>
      </w:r>
    </w:p>
    <w:p>
      <w:pPr>
        <w:pStyle w:val="Heading3"/>
        <w:spacing w:after="120" w:before="200"/>
      </w:pPr>
      <w:r>
        <w:rPr>
          <w:rFonts w:ascii="Arial" w:cs="Arial" w:eastAsia="Arial" w:hAnsi="Arial"/>
          <w:b/>
          <w:bCs/>
          <w:sz w:val="24"/>
          <w:szCs w:val="24"/>
        </w:rPr>
        <w:t xml:space="preserve">BA — The Boeing Company</w:t>
      </w:r>
    </w:p>
    <w:p>
      <w:pPr>
        <w:spacing w:after="120"/>
      </w:pPr>
      <w:r>
        <w:rPr>
          <w:rFonts w:ascii="Arial" w:cs="Arial" w:eastAsia="Arial" w:hAnsi="Arial"/>
          <w:b/>
          <w:bCs/>
          <w:sz w:val="22"/>
          <w:szCs w:val="22"/>
        </w:rPr>
        <w:t xml:space="preserve">Sector: </w:t>
      </w:r>
      <w:r>
        <w:rPr>
          <w:rFonts w:ascii="Arial" w:cs="Arial" w:eastAsia="Arial" w:hAnsi="Arial"/>
          <w:sz w:val="22"/>
          <w:szCs w:val="22"/>
        </w:rPr>
        <w:t xml:space="preserve">Industrials | </w:t>
      </w:r>
      <w:r>
        <w:rPr>
          <w:rFonts w:ascii="Arial" w:cs="Arial" w:eastAsia="Arial" w:hAnsi="Arial"/>
          <w:b/>
          <w:bCs/>
          <w:sz w:val="22"/>
          <w:szCs w:val="22"/>
        </w:rPr>
        <w:t xml:space="preserve">Helios reported: </w:t>
      </w:r>
      <w:r>
        <w:rPr>
          <w:rFonts w:ascii="Arial" w:cs="Arial" w:eastAsia="Arial" w:hAnsi="Arial"/>
          <w:sz w:val="22"/>
          <w:szCs w:val="22"/>
        </w:rPr>
        <w:t xml:space="preserve">CCC+ | </w:t>
      </w:r>
      <w:r>
        <w:rPr>
          <w:rFonts w:ascii="Arial" w:cs="Arial" w:eastAsia="Arial" w:hAnsi="Arial"/>
          <w:b/>
          <w:bCs/>
          <w:sz w:val="22"/>
          <w:szCs w:val="22"/>
        </w:rPr>
        <w:t xml:space="preserve">S&amp;P ground truth: </w:t>
      </w:r>
      <w:r>
        <w:rPr>
          <w:rFonts w:ascii="Arial" w:cs="Arial" w:eastAsia="Arial" w:hAnsi="Arial"/>
          <w:sz w:val="22"/>
          <w:szCs w:val="22"/>
        </w:rPr>
        <w:t xml:space="preserve">BBB- | </w:t>
      </w:r>
      <w:r>
        <w:rPr>
          <w:rFonts w:ascii="Arial" w:cs="Arial" w:eastAsia="Arial" w:hAnsi="Arial"/>
          <w:b/>
          <w:bCs/>
          <w:sz w:val="22"/>
          <w:szCs w:val="22"/>
        </w:rPr>
        <w:t xml:space="preserve">Δ: </w:t>
      </w:r>
      <w:r>
        <w:rPr>
          <w:rFonts w:ascii="Arial" w:cs="Arial" w:eastAsia="Arial" w:hAnsi="Arial"/>
          <w:b/>
          <w:bCs/>
          <w:color w:val="C00000"/>
          <w:sz w:val="22"/>
          <w:szCs w:val="22"/>
        </w:rPr>
        <w:t xml:space="preserve">+7 notches (pessimistic)</w:t>
      </w:r>
    </w:p>
    <w:p>
      <w:pPr>
        <w:spacing w:after="120"/>
      </w:pPr>
      <w:r>
        <w:t xml:space="preserve">Boeing. Negative FY2024 EBITDA post-737 MAX door-plug incident + Alaska Air grounding + strike + cash burn. Agencies hold BBB- assuming government-backed air-transport demand and Boeing’s duopoly position with Airbus will return the business to normalized earnings. Helios reads the spot financials and marks them to CCC+ (distressed). Methodology gap: cyclical-business TTC overlay for strategically-critical industries.</w:t>
      </w:r>
    </w:p>
    <w:p>
      <w:pPr>
        <w:pStyle w:val="Heading3"/>
        <w:spacing w:after="120" w:before="200"/>
      </w:pPr>
      <w:r>
        <w:rPr>
          <w:rFonts w:ascii="Arial" w:cs="Arial" w:eastAsia="Arial" w:hAnsi="Arial"/>
          <w:b/>
          <w:bCs/>
          <w:sz w:val="24"/>
          <w:szCs w:val="24"/>
        </w:rPr>
        <w:t xml:space="preserve">LEN — Lennar Corporation</w:t>
      </w:r>
    </w:p>
    <w:p>
      <w:pPr>
        <w:spacing w:after="120"/>
      </w:pPr>
      <w:r>
        <w:rPr>
          <w:rFonts w:ascii="Arial" w:cs="Arial" w:eastAsia="Arial" w:hAnsi="Arial"/>
          <w:b/>
          <w:bCs/>
          <w:sz w:val="22"/>
          <w:szCs w:val="22"/>
        </w:rPr>
        <w:t xml:space="preserve">Sector: </w:t>
      </w:r>
      <w:r>
        <w:rPr>
          <w:rFonts w:ascii="Arial" w:cs="Arial" w:eastAsia="Arial" w:hAnsi="Arial"/>
          <w:sz w:val="22"/>
          <w:szCs w:val="22"/>
        </w:rPr>
        <w:t xml:space="preserve">Consumer Discretionary | </w:t>
      </w:r>
      <w:r>
        <w:rPr>
          <w:rFonts w:ascii="Arial" w:cs="Arial" w:eastAsia="Arial" w:hAnsi="Arial"/>
          <w:b/>
          <w:bCs/>
          <w:sz w:val="22"/>
          <w:szCs w:val="22"/>
        </w:rPr>
        <w:t xml:space="preserve">Helios reported: </w:t>
      </w:r>
      <w:r>
        <w:rPr>
          <w:rFonts w:ascii="Arial" w:cs="Arial" w:eastAsia="Arial" w:hAnsi="Arial"/>
          <w:sz w:val="22"/>
          <w:szCs w:val="22"/>
        </w:rPr>
        <w:t xml:space="preserve">AA | </w:t>
      </w:r>
      <w:r>
        <w:rPr>
          <w:rFonts w:ascii="Arial" w:cs="Arial" w:eastAsia="Arial" w:hAnsi="Arial"/>
          <w:b/>
          <w:bCs/>
          <w:sz w:val="22"/>
          <w:szCs w:val="22"/>
        </w:rPr>
        <w:t xml:space="preserve">S&amp;P ground truth: </w:t>
      </w:r>
      <w:r>
        <w:rPr>
          <w:rFonts w:ascii="Arial" w:cs="Arial" w:eastAsia="Arial" w:hAnsi="Arial"/>
          <w:sz w:val="22"/>
          <w:szCs w:val="22"/>
        </w:rPr>
        <w:t xml:space="preserve">BBB | </w:t>
      </w:r>
      <w:r>
        <w:rPr>
          <w:rFonts w:ascii="Arial" w:cs="Arial" w:eastAsia="Arial" w:hAnsi="Arial"/>
          <w:b/>
          <w:bCs/>
          <w:sz w:val="22"/>
          <w:szCs w:val="22"/>
        </w:rPr>
        <w:t xml:space="preserve">Δ: </w:t>
      </w:r>
      <w:r>
        <w:rPr>
          <w:rFonts w:ascii="Arial" w:cs="Arial" w:eastAsia="Arial" w:hAnsi="Arial"/>
          <w:b/>
          <w:bCs/>
          <w:color w:val="C00000"/>
          <w:sz w:val="22"/>
          <w:szCs w:val="22"/>
        </w:rPr>
        <w:t xml:space="preserve">-6 notches (optimistic)</w:t>
      </w:r>
    </w:p>
    <w:p>
      <w:pPr>
        <w:spacing w:after="120"/>
      </w:pPr>
      <w:r>
        <w:t xml:space="preserve">Lennar Corporation. Net-cash balance sheet (effectively zero net debt when cash held against homebuilder operating float), very high equity cushion. Helios composite reads this as AA-tier quantitative quality. Agencies cap homebuilders at BBB-tier reflecting sector cyclicality, land-bank risk, and historical default rates during housing downturns. Industry-cap modifier for cyclical sectors is the remediation candidate.</w:t>
      </w:r>
    </w:p>
    <w:p>
      <w:pPr>
        <w:pStyle w:val="Heading3"/>
        <w:spacing w:after="120" w:before="200"/>
      </w:pPr>
      <w:r>
        <w:rPr>
          <w:rFonts w:ascii="Arial" w:cs="Arial" w:eastAsia="Arial" w:hAnsi="Arial"/>
          <w:b/>
          <w:bCs/>
          <w:sz w:val="24"/>
          <w:szCs w:val="24"/>
        </w:rPr>
        <w:t xml:space="preserve">OXY — Occidental Petroleum Corporation</w:t>
      </w:r>
    </w:p>
    <w:p>
      <w:pPr>
        <w:spacing w:after="120"/>
      </w:pPr>
      <w:r>
        <w:rPr>
          <w:rFonts w:ascii="Arial" w:cs="Arial" w:eastAsia="Arial" w:hAnsi="Arial"/>
          <w:b/>
          <w:bCs/>
          <w:sz w:val="22"/>
          <w:szCs w:val="22"/>
        </w:rPr>
        <w:t xml:space="preserve">Sector: </w:t>
      </w:r>
      <w:r>
        <w:rPr>
          <w:rFonts w:ascii="Arial" w:cs="Arial" w:eastAsia="Arial" w:hAnsi="Arial"/>
          <w:sz w:val="22"/>
          <w:szCs w:val="22"/>
        </w:rPr>
        <w:t xml:space="preserve">Energy | </w:t>
      </w:r>
      <w:r>
        <w:rPr>
          <w:rFonts w:ascii="Arial" w:cs="Arial" w:eastAsia="Arial" w:hAnsi="Arial"/>
          <w:b/>
          <w:bCs/>
          <w:sz w:val="22"/>
          <w:szCs w:val="22"/>
        </w:rPr>
        <w:t xml:space="preserve">Helios reported: </w:t>
      </w:r>
      <w:r>
        <w:rPr>
          <w:rFonts w:ascii="Arial" w:cs="Arial" w:eastAsia="Arial" w:hAnsi="Arial"/>
          <w:sz w:val="22"/>
          <w:szCs w:val="22"/>
        </w:rPr>
        <w:t xml:space="preserve">A+ | </w:t>
      </w:r>
      <w:r>
        <w:rPr>
          <w:rFonts w:ascii="Arial" w:cs="Arial" w:eastAsia="Arial" w:hAnsi="Arial"/>
          <w:b/>
          <w:bCs/>
          <w:sz w:val="22"/>
          <w:szCs w:val="22"/>
        </w:rPr>
        <w:t xml:space="preserve">S&amp;P ground truth: </w:t>
      </w:r>
      <w:r>
        <w:rPr>
          <w:rFonts w:ascii="Arial" w:cs="Arial" w:eastAsia="Arial" w:hAnsi="Arial"/>
          <w:sz w:val="22"/>
          <w:szCs w:val="22"/>
        </w:rPr>
        <w:t xml:space="preserve">BBB- | </w:t>
      </w:r>
      <w:r>
        <w:rPr>
          <w:rFonts w:ascii="Arial" w:cs="Arial" w:eastAsia="Arial" w:hAnsi="Arial"/>
          <w:b/>
          <w:bCs/>
          <w:sz w:val="22"/>
          <w:szCs w:val="22"/>
        </w:rPr>
        <w:t xml:space="preserve">Δ: </w:t>
      </w:r>
      <w:r>
        <w:rPr>
          <w:rFonts w:ascii="Arial" w:cs="Arial" w:eastAsia="Arial" w:hAnsi="Arial"/>
          <w:b/>
          <w:bCs/>
          <w:color w:val="C00000"/>
          <w:sz w:val="22"/>
          <w:szCs w:val="22"/>
        </w:rPr>
        <w:t xml:space="preserve">-5 notches (optimistic)</w:t>
      </w:r>
    </w:p>
    <w:p>
      <w:pPr>
        <w:spacing w:after="120"/>
      </w:pPr>
      <w:r>
        <w:t xml:space="preserve">Occidental Petroleum. Production scale, reserves, asset coverage, and improved post-Anadarko integration FCF profile score quantitatively well. Agencies apply commodity-volatility haircut and preferred-equity subordination treatment that the Helios corporate path does not. Also a Berkshire Hathaway cornerstone holding — governance quality signal that is not in the quantitative composite.</w:t>
      </w:r>
    </w:p>
    <w:p>
      <w:pPr>
        <w:pStyle w:val="Heading3"/>
        <w:spacing w:after="120" w:before="200"/>
      </w:pPr>
      <w:r>
        <w:rPr>
          <w:rFonts w:ascii="Arial" w:cs="Arial" w:eastAsia="Arial" w:hAnsi="Arial"/>
          <w:b/>
          <w:bCs/>
          <w:sz w:val="24"/>
          <w:szCs w:val="24"/>
        </w:rPr>
        <w:t xml:space="preserve">CI — The Cigna Group</w:t>
      </w:r>
    </w:p>
    <w:p>
      <w:pPr>
        <w:spacing w:after="120"/>
      </w:pPr>
      <w:r>
        <w:rPr>
          <w:rFonts w:ascii="Arial" w:cs="Arial" w:eastAsia="Arial" w:hAnsi="Arial"/>
          <w:b/>
          <w:bCs/>
          <w:sz w:val="22"/>
          <w:szCs w:val="22"/>
        </w:rPr>
        <w:t xml:space="preserve">Sector: </w:t>
      </w:r>
      <w:r>
        <w:rPr>
          <w:rFonts w:ascii="Arial" w:cs="Arial" w:eastAsia="Arial" w:hAnsi="Arial"/>
          <w:sz w:val="22"/>
          <w:szCs w:val="22"/>
        </w:rPr>
        <w:t xml:space="preserve">Healthcare | </w:t>
      </w:r>
      <w:r>
        <w:rPr>
          <w:rFonts w:ascii="Arial" w:cs="Arial" w:eastAsia="Arial" w:hAnsi="Arial"/>
          <w:b/>
          <w:bCs/>
          <w:sz w:val="22"/>
          <w:szCs w:val="22"/>
        </w:rPr>
        <w:t xml:space="preserve">Helios reported: </w:t>
      </w:r>
      <w:r>
        <w:rPr>
          <w:rFonts w:ascii="Arial" w:cs="Arial" w:eastAsia="Arial" w:hAnsi="Arial"/>
          <w:sz w:val="22"/>
          <w:szCs w:val="22"/>
        </w:rPr>
        <w:t xml:space="preserve">BB+ | </w:t>
      </w:r>
      <w:r>
        <w:rPr>
          <w:rFonts w:ascii="Arial" w:cs="Arial" w:eastAsia="Arial" w:hAnsi="Arial"/>
          <w:b/>
          <w:bCs/>
          <w:sz w:val="22"/>
          <w:szCs w:val="22"/>
        </w:rPr>
        <w:t xml:space="preserve">S&amp;P ground truth: </w:t>
      </w:r>
      <w:r>
        <w:rPr>
          <w:rFonts w:ascii="Arial" w:cs="Arial" w:eastAsia="Arial" w:hAnsi="Arial"/>
          <w:sz w:val="22"/>
          <w:szCs w:val="22"/>
        </w:rPr>
        <w:t xml:space="preserve">A- | </w:t>
      </w:r>
      <w:r>
        <w:rPr>
          <w:rFonts w:ascii="Arial" w:cs="Arial" w:eastAsia="Arial" w:hAnsi="Arial"/>
          <w:b/>
          <w:bCs/>
          <w:sz w:val="22"/>
          <w:szCs w:val="22"/>
        </w:rPr>
        <w:t xml:space="preserve">Δ: </w:t>
      </w:r>
      <w:r>
        <w:rPr>
          <w:rFonts w:ascii="Arial" w:cs="Arial" w:eastAsia="Arial" w:hAnsi="Arial"/>
          <w:b/>
          <w:bCs/>
          <w:color w:val="BF4F00"/>
          <w:sz w:val="22"/>
          <w:szCs w:val="22"/>
        </w:rPr>
        <w:t xml:space="preserve">+4 notches (pessimistic)</w:t>
      </w:r>
    </w:p>
    <w:p>
      <w:pPr>
        <w:spacing w:after="120"/>
      </w:pPr>
      <w:r>
        <w:t xml:space="preserve">The Cigna Group. Managed-care earnings stability + pharmacy-benefit-manager scale + diversified payer mix give agencies confidence in the A- tier. Helios reads moderate leverage and middling coverage ratios as BB+ quantitatively. This is the clearest case for the managed-care / regulated-industry qualitative overlay gap identified in Healthcare sector observations.</w:t>
      </w:r>
    </w:p>
    <w:p>
      <w:pPr>
        <w:pStyle w:val="Heading1"/>
        <w:pageBreakBefore/>
        <w:spacing w:after="240" w:before="360"/>
      </w:pPr>
      <w:r>
        <w:rPr>
          <w:rFonts w:ascii="Arial" w:cs="Arial" w:eastAsia="Arial" w:hAnsi="Arial"/>
          <w:b/>
          <w:bCs/>
          <w:sz w:val="36"/>
          <w:szCs w:val="36"/>
        </w:rPr>
        <w:t xml:space="preserve">8. Per-Ticker Results</w:t>
      </w:r>
    </w:p>
    <w:p>
      <w:pPr>
        <w:spacing w:after="120"/>
      </w:pPr>
      <w:r>
        <w:t xml:space="preserve">Complete 31-row results table, alphabetical by ticker. "Moody’s-H" is Helios’ Moody’s-methodology output (ratings.moodys in the envelope). Delta = notch(Helios reported) − notch(GT S&amp;P). Color coding: green = exact/±1, amber = ±2, gold = ±3, red = beyond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
        <w:gridCol w:w="2200"/>
        <w:gridCol w:w="1440"/>
        <w:gridCol w:w="700"/>
        <w:gridCol w:w="700"/>
        <w:gridCol w:w="700"/>
        <w:gridCol w:w="700"/>
        <w:gridCol w:w="800"/>
        <w:gridCol w:w="1400"/>
      </w:tblGrid>
      <w:tr>
        <w:tc>
          <w:tcPr>
            <w:tcW w:type="dxa" w:w="72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Ticker</w:t>
            </w:r>
          </w:p>
        </w:tc>
        <w:tc>
          <w:tcPr>
            <w:tcW w:type="dxa" w:w="22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Company</w:t>
            </w:r>
          </w:p>
        </w:tc>
        <w:tc>
          <w:tcPr>
            <w:tcW w:type="dxa" w:w="144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Sector</w:t>
            </w:r>
          </w:p>
        </w:tc>
        <w:tc>
          <w:tcPr>
            <w:tcW w:type="dxa" w:w="7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Helios</w:t>
            </w:r>
          </w:p>
        </w:tc>
        <w:tc>
          <w:tcPr>
            <w:tcW w:type="dxa" w:w="7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Moody’s-H</w:t>
            </w:r>
          </w:p>
        </w:tc>
        <w:tc>
          <w:tcPr>
            <w:tcW w:type="dxa" w:w="7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GT S&amp;P</w:t>
            </w:r>
          </w:p>
        </w:tc>
        <w:tc>
          <w:tcPr>
            <w:tcW w:type="dxa" w:w="7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GT Moody’s</w:t>
            </w:r>
          </w:p>
        </w:tc>
        <w:tc>
          <w:tcPr>
            <w:tcW w:type="dxa" w:w="8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Δ S&amp;P</w:t>
            </w:r>
          </w:p>
        </w:tc>
        <w:tc>
          <w:tcPr>
            <w:tcW w:type="dxa" w:w="1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Composite</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ABBV</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AbbVie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10.14</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ADM</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Archer-Daniels-Midland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Staples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9.07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AMAT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Applied Materials,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Technology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2.16</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AMGN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Amgen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11.26</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APD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Air Products and Chemicals,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Materials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7.96</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BA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The Boeing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CCC+</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+7</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16.82</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BDX</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Becton, Dickinson and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10.44</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CHTR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Charter Communications,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Communication Services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12.27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CI</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The Cigna Group</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11.25</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CMI</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Cummins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5.77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CSX</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CSX Corporation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7.47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DAL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Delta Air Lines,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10.00</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DHR</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Danaher Corporation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6.95</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ELV</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Elevance Health,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9.75</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ETN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Eaton Corporation plc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5.97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HCA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HCA Healthcare,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8.34</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HWM</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Howmet Aerospace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7.16</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KHC</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The Kraft Heinz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Staples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10.46</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LEN</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Lennar Corporation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Discretionary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-6</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3.08</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MMM</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3M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Industrials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7.27</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MRK</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Merck &amp; Co.,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A1</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3.24</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OKE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ONEOK,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Energy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87C0F"/>
                <w:sz w:val="20"/>
                <w:szCs w:val="20"/>
              </w:rPr>
              <w:t xml:space="preserve">+3</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11.89</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ORCL</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Oracle Corporation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Technology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8.88</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OXY</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Occidental Petroleum Corporation</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Energy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-5</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5.43</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PARA</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Paramount Global</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Communication Services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14.89</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PG</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The Procter &amp; Gamble Company</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Staples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BF4F00"/>
                <w:sz w:val="20"/>
                <w:szCs w:val="20"/>
              </w:rPr>
              <w:t xml:space="preserve">+2</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5.70</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AT&amp;T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Communication Services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Baa1</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375623"/>
                <w:sz w:val="20"/>
                <w:szCs w:val="20"/>
              </w:rPr>
              <w:t xml:space="preserve">-1</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8.28</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TTWO</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Take-Two Interactive Software,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Communication Services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CCC</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Baa3</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+8</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18.03</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WMT</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Walmart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Staples</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A2</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AA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7.45</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YUM</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Yum! Brands,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Consumer Discretionary</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2E7D32"/>
                <w:sz w:val="20"/>
                <w:szCs w:val="20"/>
              </w:rPr>
              <w:t xml:space="preserve">0</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11.50</w:t>
            </w:r>
          </w:p>
        </w:tc>
      </w:tr>
      <w:tr>
        <w:tc>
          <w:tcPr>
            <w:tcW w:type="dxa" w:w="72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bCs/>
                <w:sz w:val="20"/>
                <w:szCs w:val="20"/>
              </w:rPr>
              <w:t xml:space="preserve">ZTS</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Zoetis Inc.</w:t>
            </w:r>
          </w:p>
        </w:tc>
        <w:tc>
          <w:tcPr>
            <w:tcW w:type="dxa" w:w="144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left"/>
            </w:pPr>
            <w:r>
              <w:rPr>
                <w:rFonts w:ascii="Arial" w:cs="Arial" w:eastAsia="Arial" w:hAnsi="Arial"/>
                <w:b w:val="false"/>
                <w:bCs w:val="false"/>
                <w:sz w:val="18"/>
                <w:szCs w:val="18"/>
              </w:rPr>
              <w:t xml:space="preserve">Healthcare</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A3</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20"/>
                <w:szCs w:val="20"/>
              </w:rPr>
              <w:t xml:space="preserve">BBB</w:t>
            </w:r>
          </w:p>
        </w:tc>
        <w:tc>
          <w:tcPr>
            <w:tcW w:type="dxa" w:w="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20"/>
                <w:szCs w:val="20"/>
              </w:rPr>
              <w:t xml:space="preserve">Baa2</w:t>
            </w:r>
          </w:p>
        </w:tc>
        <w:tc>
          <w:tcPr>
            <w:tcW w:type="dxa" w:w="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color w:val="C00000"/>
                <w:sz w:val="20"/>
                <w:szCs w:val="20"/>
              </w:rPr>
              <w:t xml:space="preserve">-4</w:t>
            </w:r>
          </w:p>
        </w:tc>
        <w:tc>
          <w:tcPr>
            <w:tcW w:type="dxa" w:w="1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4.90</w:t>
            </w:r>
          </w:p>
        </w:tc>
      </w:tr>
    </w:tbl>
    <w:p>
      <w:pPr>
        <w:pStyle w:val="Heading1"/>
        <w:pageBreakBefore/>
        <w:spacing w:after="240" w:before="360"/>
      </w:pPr>
      <w:r>
        <w:rPr>
          <w:rFonts w:ascii="Arial" w:cs="Arial" w:eastAsia="Arial" w:hAnsi="Arial"/>
          <w:b/>
          <w:bCs/>
          <w:sz w:val="36"/>
          <w:szCs w:val="36"/>
        </w:rPr>
        <w:t xml:space="preserve">9. Limitations &amp; Known Biases</w:t>
      </w:r>
    </w:p>
    <w:p>
      <w:pPr>
        <w:pStyle w:val="Heading2"/>
        <w:spacing w:after="180" w:before="280"/>
      </w:pPr>
      <w:r>
        <w:rPr>
          <w:rFonts w:ascii="Arial" w:cs="Arial" w:eastAsia="Arial" w:hAnsi="Arial"/>
          <w:b/>
          <w:bCs/>
          <w:sz w:val="28"/>
          <w:szCs w:val="28"/>
        </w:rPr>
        <w:t xml:space="preserve">9.1  Pilot-Specific Limitations</w:t>
      </w:r>
    </w:p>
    <w:p>
      <w:pPr>
        <w:pStyle w:val="ListParagraph"/>
        <w:numPr>
          <w:ilvl w:val="0"/>
          <w:numId w:val="2"/>
        </w:numPr>
        <w:spacing w:after="60"/>
      </w:pPr>
      <w:r>
        <w:rPr>
          <w:rFonts w:ascii="Arial" w:cs="Arial" w:eastAsia="Arial" w:hAnsi="Arial"/>
          <w:sz w:val="22"/>
          <w:szCs w:val="22"/>
        </w:rPr>
        <w:t xml:space="preserve">n = 31 is a pilot. The confidence intervals on every statistic here are wide. MAE of 2.61 has roughly ±0.6 notch 95% CI on this sample size; the per-sector numbers are even noisier. No claim about engine calibration should be treated as definitive until the full 94-ticker overlap (and ideally the full 124-ticker sample once financial inputs exist for the remaining 63) is run.</w:t>
      </w:r>
    </w:p>
    <w:p>
      <w:pPr>
        <w:pStyle w:val="ListParagraph"/>
        <w:numPr>
          <w:ilvl w:val="0"/>
          <w:numId w:val="2"/>
        </w:numPr>
        <w:spacing w:after="60"/>
      </w:pPr>
      <w:r>
        <w:rPr>
          <w:rFonts w:ascii="Arial" w:cs="Arial" w:eastAsia="Arial" w:hAnsi="Arial"/>
          <w:sz w:val="22"/>
          <w:szCs w:val="22"/>
        </w:rPr>
        <w:t xml:space="preserve">Selection bias in the 31-ticker subset: these are mega/large-cap names chosen for financial-statement input quality. The selection over-weights liquid, well-covered issuers whose agency ratings are the most stable and best-documented. A random draw from the full sample would likely include more BB/B names, stressed issuers, and lesser-known mid-caps, which would stress the engine differently.</w:t>
      </w:r>
    </w:p>
    <w:p>
      <w:pPr>
        <w:pStyle w:val="ListParagraph"/>
        <w:numPr>
          <w:ilvl w:val="0"/>
          <w:numId w:val="2"/>
        </w:numPr>
        <w:spacing w:after="60"/>
      </w:pPr>
      <w:r>
        <w:rPr>
          <w:rFonts w:ascii="Arial" w:cs="Arial" w:eastAsia="Arial" w:hAnsi="Arial"/>
          <w:sz w:val="22"/>
          <w:szCs w:val="22"/>
        </w:rPr>
        <w:t xml:space="preserve">Financial inputs are hand-curated from training knowledge, not from live SEC filings or audited financial statements. Stated precision band: ±5–10% on balance-sheet items, ±3% on P&amp;L items. For mega-cap names this is unlikely to materially affect ratings; for stressed issuers (BA, TTWO) small input errors can move a notch.</w:t>
      </w:r>
    </w:p>
    <w:p>
      <w:pPr>
        <w:pStyle w:val="ListParagraph"/>
        <w:numPr>
          <w:ilvl w:val="0"/>
          <w:numId w:val="2"/>
        </w:numPr>
        <w:spacing w:after="60"/>
      </w:pPr>
      <w:r>
        <w:rPr>
          <w:rFonts w:ascii="Arial" w:cs="Arial" w:eastAsia="Arial" w:hAnsi="Arial"/>
          <w:sz w:val="22"/>
          <w:szCs w:val="22"/>
        </w:rPr>
        <w:t xml:space="preserve">Every row emitted a balance-sheet-gap warning because hand-curated inputs exclude non-debt liabilities. Engine output is not affected, but for forensic-grade analysis this would require full trial-balance integration.</w:t>
      </w:r>
    </w:p>
    <w:p>
      <w:pPr>
        <w:pStyle w:val="Heading2"/>
        <w:spacing w:after="180" w:before="280"/>
      </w:pPr>
      <w:r>
        <w:rPr>
          <w:rFonts w:ascii="Arial" w:cs="Arial" w:eastAsia="Arial" w:hAnsi="Arial"/>
          <w:b/>
          <w:bCs/>
          <w:sz w:val="28"/>
          <w:szCs w:val="28"/>
        </w:rPr>
        <w:t xml:space="preserve">9.2  Methodology Scope Limitations</w:t>
      </w:r>
    </w:p>
    <w:p>
      <w:pPr>
        <w:pStyle w:val="ListParagraph"/>
        <w:numPr>
          <w:ilvl w:val="0"/>
          <w:numId w:val="2"/>
        </w:numPr>
        <w:spacing w:after="60"/>
      </w:pPr>
      <w:r>
        <w:rPr>
          <w:rFonts w:ascii="Arial" w:cs="Arial" w:eastAsia="Arial" w:hAnsi="Arial"/>
          <w:sz w:val="22"/>
          <w:szCs w:val="22"/>
        </w:rPr>
        <w:t xml:space="preserve">Out-of-scope issuers excluded from the backtest: banks, broker-dealers, insurers (BIS/RBC capital inputs not modeled), REITs (FFO/AFFO methodology not implemented), rate-regulated utilities (regulatory-construct modifiers not in corporate path). These represent ~30% of the S&amp;P 500 by count and a similar share of the sample. Future work to extend the backtest to full coverage will require implementing or wiring in sector-specific methodology paths.</w:t>
      </w:r>
    </w:p>
    <w:p>
      <w:pPr>
        <w:pStyle w:val="ListParagraph"/>
        <w:numPr>
          <w:ilvl w:val="0"/>
          <w:numId w:val="2"/>
        </w:numPr>
        <w:spacing w:after="60"/>
      </w:pPr>
      <w:r>
        <w:rPr>
          <w:rFonts w:ascii="Arial" w:cs="Arial" w:eastAsia="Arial" w:hAnsi="Arial"/>
          <w:sz w:val="22"/>
          <w:szCs w:val="22"/>
        </w:rPr>
        <w:t xml:space="preserve">Agency ratings are point-in-time as of the ground-truth snapshot. Helios is also a point-in-time engine, so the comparison is internally consistent. However, agency rating transitions (upgrade/downgrade actions) lag changes in financial fundamentals by 6–18 months; some of the observed deltas may reflect the agencies catching up to deterioration or improvement Helios has already priced in.</w:t>
      </w:r>
    </w:p>
    <w:p>
      <w:pPr>
        <w:pStyle w:val="ListParagraph"/>
        <w:numPr>
          <w:ilvl w:val="0"/>
          <w:numId w:val="2"/>
        </w:numPr>
        <w:spacing w:after="60"/>
      </w:pPr>
      <w:r>
        <w:rPr>
          <w:rFonts w:ascii="Arial" w:cs="Arial" w:eastAsia="Arial" w:hAnsi="Arial"/>
          <w:sz w:val="22"/>
          <w:szCs w:val="22"/>
        </w:rPr>
        <w:t xml:space="preserve">Ground-truth file is curated from public disclosures and is not guaranteed to be bit-identical to agency master files. For highly-visible mega-caps this is low risk; for less-covered names there is a residual transcription risk.</w:t>
      </w:r>
    </w:p>
    <w:p>
      <w:pPr>
        <w:pStyle w:val="Heading2"/>
        <w:spacing w:after="180" w:before="280"/>
      </w:pPr>
      <w:r>
        <w:rPr>
          <w:rFonts w:ascii="Arial" w:cs="Arial" w:eastAsia="Arial" w:hAnsi="Arial"/>
          <w:b/>
          <w:bCs/>
          <w:sz w:val="28"/>
          <w:szCs w:val="28"/>
        </w:rPr>
        <w:t xml:space="preserve">9.3  Structural Engine Limitations Observed in the Pilot</w:t>
      </w:r>
    </w:p>
    <w:p>
      <w:pPr>
        <w:pStyle w:val="ListParagraph"/>
        <w:numPr>
          <w:ilvl w:val="0"/>
          <w:numId w:val="2"/>
        </w:numPr>
        <w:spacing w:after="60"/>
      </w:pPr>
      <w:r>
        <w:rPr>
          <w:rFonts w:ascii="Arial" w:cs="Arial" w:eastAsia="Arial" w:hAnsi="Arial"/>
          <w:sz w:val="22"/>
          <w:szCs w:val="22"/>
        </w:rPr>
        <w:t xml:space="preserve">No AAA/AA uplift for "defensive mega-cap with AAA-fortress balance sheet". PG, WMT (and the AAA issuers not in this pilot — AAPL, MSFT, JNJ) consistently land in A-tier from Helios. Root cause: the X-13 megacap-floor caps ratings at BBB- on the low end but there is no symmetric ceiling-uplift mechanism on the high end. Methodology overlay candidate.</w:t>
      </w:r>
    </w:p>
    <w:p>
      <w:pPr>
        <w:pStyle w:val="ListParagraph"/>
        <w:numPr>
          <w:ilvl w:val="0"/>
          <w:numId w:val="2"/>
        </w:numPr>
        <w:spacing w:after="60"/>
      </w:pPr>
      <w:r>
        <w:rPr>
          <w:rFonts w:ascii="Arial" w:cs="Arial" w:eastAsia="Arial" w:hAnsi="Arial"/>
          <w:sz w:val="22"/>
          <w:szCs w:val="22"/>
        </w:rPr>
        <w:t xml:space="preserve">No sector-cyclicality cap. LEN’s homebuilder cyclicality and OXY’s commodity volatility are invisible to the quantitative composite. Agencies apply explicit sector caps (homebuilders at BBB+, commodity E&amp;Ps with single-basin concentration at BBB/BBB-). Methodology overlay candidate.</w:t>
      </w:r>
    </w:p>
    <w:p>
      <w:pPr>
        <w:pStyle w:val="ListParagraph"/>
        <w:numPr>
          <w:ilvl w:val="0"/>
          <w:numId w:val="2"/>
        </w:numPr>
        <w:spacing w:after="60"/>
      </w:pPr>
      <w:r>
        <w:rPr>
          <w:rFonts w:ascii="Arial" w:cs="Arial" w:eastAsia="Arial" w:hAnsi="Arial"/>
          <w:sz w:val="22"/>
          <w:szCs w:val="22"/>
        </w:rPr>
        <w:t xml:space="preserve">No forward-looking catalyst adjustment. TTWO’s GTA6 pipeline, managed-care recurring-revenue stability, and defensive-moat franchise value are all qualitative overlays agencies apply that are not in the Helios quantitative path. This is the widest methodology gap and also the hardest to close without deep issuer-specific underwriting.</w:t>
      </w:r>
    </w:p>
    <w:p>
      <w:pPr>
        <w:pStyle w:val="ListParagraph"/>
        <w:numPr>
          <w:ilvl w:val="0"/>
          <w:numId w:val="2"/>
        </w:numPr>
        <w:spacing w:after="60"/>
      </w:pPr>
      <w:r>
        <w:rPr>
          <w:rFonts w:ascii="Arial" w:cs="Arial" w:eastAsia="Arial" w:hAnsi="Arial"/>
          <w:sz w:val="22"/>
          <w:szCs w:val="22"/>
        </w:rPr>
        <w:t xml:space="preserve">Coverage metric dispersion on negative-EBIT / negative-EBITDA issuers: engine maps these to distressed tiers (BA, TTWO). Agency TTC methodology absorbs the cyclical trough. This is a known limitation already documented in the CFO-1 limitations block (SCOPE.MODEL_INDICATED_ONLY entry).</w:t>
      </w:r>
    </w:p>
    <w:p>
      <w:pPr>
        <w:pStyle w:val="Heading2"/>
        <w:spacing w:after="180" w:before="280"/>
      </w:pPr>
      <w:r>
        <w:rPr>
          <w:rFonts w:ascii="Arial" w:cs="Arial" w:eastAsia="Arial" w:hAnsi="Arial"/>
          <w:b/>
          <w:bCs/>
          <w:sz w:val="28"/>
          <w:szCs w:val="28"/>
        </w:rPr>
        <w:t xml:space="preserve">9.4  Statistical &amp; Interpretation Caveats</w:t>
      </w:r>
    </w:p>
    <w:p>
      <w:pPr>
        <w:pStyle w:val="ListParagraph"/>
        <w:numPr>
          <w:ilvl w:val="0"/>
          <w:numId w:val="2"/>
        </w:numPr>
        <w:spacing w:after="60"/>
      </w:pPr>
      <w:r>
        <w:rPr>
          <w:rFonts w:ascii="Arial" w:cs="Arial" w:eastAsia="Arial" w:hAnsi="Arial"/>
          <w:sz w:val="22"/>
          <w:szCs w:val="22"/>
        </w:rPr>
        <w:t xml:space="preserve">Rank correlation ρ = 0.52 is not directly comparable to backtesting AUCs from the historical-default backtest (AUC ≈ 0.66 on 2009–2020 corporate defaults). Those measure discriminative power between defaulters and survivors; this measures ordinal agreement with a three-agency rating-committee consensus. The two questions are related but distinct.</w:t>
      </w:r>
    </w:p>
    <w:p>
      <w:pPr>
        <w:pStyle w:val="ListParagraph"/>
        <w:numPr>
          <w:ilvl w:val="0"/>
          <w:numId w:val="2"/>
        </w:numPr>
        <w:spacing w:after="60"/>
      </w:pPr>
      <w:r>
        <w:rPr>
          <w:rFonts w:ascii="Arial" w:cs="Arial" w:eastAsia="Arial" w:hAnsi="Arial"/>
          <w:sz w:val="22"/>
          <w:szCs w:val="22"/>
        </w:rPr>
        <w:t xml:space="preserve">Delta metrics assume the agency rating is the gold standard. This is the standard convention in rating-engine validation, but it is worth noting that agencies themselves disagree by 0–2 notches on individual issuers routinely. A Helios output that differs from S&amp;P by 1 notch but matches Moody’s exactly is not "wrong" — it has simply chosen one of the two plausible consensus points.</w:t>
      </w:r>
    </w:p>
    <w:p>
      <w:pPr>
        <w:pStyle w:val="ListParagraph"/>
        <w:numPr>
          <w:ilvl w:val="0"/>
          <w:numId w:val="2"/>
        </w:numPr>
        <w:spacing w:after="60"/>
      </w:pPr>
      <w:r>
        <w:rPr>
          <w:rFonts w:ascii="Arial" w:cs="Arial" w:eastAsia="Arial" w:hAnsi="Arial"/>
          <w:sz w:val="22"/>
          <w:szCs w:val="22"/>
        </w:rPr>
        <w:t xml:space="preserve">The "Helios vs Moody’s MAE 2.13" finding is consistent with the above: Helios’ blended composite is in some sense triangulating the three agencies, and its agreement with any single agency is bounded below by the cross-agency disagreement.</w:t>
      </w:r>
    </w:p>
    <w:p>
      <w:pPr>
        <w:pStyle w:val="Heading1"/>
        <w:pageBreakBefore/>
        <w:spacing w:after="240" w:before="360"/>
      </w:pPr>
      <w:r>
        <w:rPr>
          <w:rFonts w:ascii="Arial" w:cs="Arial" w:eastAsia="Arial" w:hAnsi="Arial"/>
          <w:b/>
          <w:bCs/>
          <w:sz w:val="36"/>
          <w:szCs w:val="36"/>
        </w:rPr>
        <w:t xml:space="preserve">10. Next Steps</w:t>
      </w:r>
    </w:p>
    <w:p>
      <w:pPr>
        <w:pStyle w:val="Heading2"/>
        <w:spacing w:after="180" w:before="280"/>
      </w:pPr>
      <w:r>
        <w:rPr>
          <w:rFonts w:ascii="Arial" w:cs="Arial" w:eastAsia="Arial" w:hAnsi="Arial"/>
          <w:b/>
          <w:bCs/>
          <w:sz w:val="28"/>
          <w:szCs w:val="28"/>
        </w:rPr>
        <w:t xml:space="preserve">10.1  Immediate (expand the empirical base)</w:t>
      </w:r>
    </w:p>
    <w:p>
      <w:pPr>
        <w:pStyle w:val="ListParagraph"/>
        <w:numPr>
          <w:ilvl w:val="0"/>
          <w:numId w:val="2"/>
        </w:numPr>
        <w:spacing w:after="60"/>
      </w:pPr>
      <w:r>
        <w:rPr>
          <w:rFonts w:ascii="Arial" w:cs="Arial" w:eastAsia="Arial" w:hAnsi="Arial"/>
          <w:sz w:val="22"/>
          <w:szCs w:val="22"/>
        </w:rPr>
        <w:t xml:space="preserve">Extend ticker_financials.js to all 94 tickers in the sample ∩ ground-truth ∩ pilot-eligible overlap. Target: run the full non-excluded universe end-to-end and reproduce all statistics at n = 94 rather than n = 31.</w:t>
      </w:r>
    </w:p>
    <w:p>
      <w:pPr>
        <w:pStyle w:val="ListParagraph"/>
        <w:numPr>
          <w:ilvl w:val="0"/>
          <w:numId w:val="2"/>
        </w:numPr>
        <w:spacing w:after="60"/>
      </w:pPr>
      <w:r>
        <w:rPr>
          <w:rFonts w:ascii="Arial" w:cs="Arial" w:eastAsia="Arial" w:hAnsi="Arial"/>
          <w:sz w:val="22"/>
          <w:szCs w:val="22"/>
        </w:rPr>
        <w:t xml:space="preserve">Add low-end coverage: deliberately sample 10–15 B- / CCC-rated issuers from outside the current S&amp;P 500 to exercise the engine’s distressed path. Without sub-BB names in the backtest, the engine’s behavior at the low end is untested.</w:t>
      </w:r>
    </w:p>
    <w:p>
      <w:pPr>
        <w:pStyle w:val="ListParagraph"/>
        <w:numPr>
          <w:ilvl w:val="0"/>
          <w:numId w:val="2"/>
        </w:numPr>
        <w:spacing w:after="60"/>
      </w:pPr>
      <w:r>
        <w:rPr>
          <w:rFonts w:ascii="Arial" w:cs="Arial" w:eastAsia="Arial" w:hAnsi="Arial"/>
          <w:sz w:val="22"/>
          <w:szCs w:val="22"/>
        </w:rPr>
        <w:t xml:space="preserve">Expand ground-truth coverage with Fitch where available to close the n=2 coverage gap. Low priority because Fitch adds little incremental signal over S&amp;P+Moody’s, but useful for per-agency benchmark triangulation.</w:t>
      </w:r>
    </w:p>
    <w:p>
      <w:pPr>
        <w:pStyle w:val="Heading2"/>
        <w:spacing w:after="180" w:before="280"/>
      </w:pPr>
      <w:r>
        <w:rPr>
          <w:rFonts w:ascii="Arial" w:cs="Arial" w:eastAsia="Arial" w:hAnsi="Arial"/>
          <w:b/>
          <w:bCs/>
          <w:sz w:val="28"/>
          <w:szCs w:val="28"/>
        </w:rPr>
        <w:t xml:space="preserve">10.2  Near-term (close the largest calibration gaps)</w:t>
      </w:r>
    </w:p>
    <w:p>
      <w:pPr>
        <w:pStyle w:val="ListParagraph"/>
        <w:numPr>
          <w:ilvl w:val="0"/>
          <w:numId w:val="2"/>
        </w:numPr>
        <w:spacing w:after="60"/>
      </w:pPr>
      <w:r>
        <w:rPr>
          <w:rFonts w:ascii="Arial" w:cs="Arial" w:eastAsia="Arial" w:hAnsi="Arial"/>
          <w:sz w:val="22"/>
          <w:szCs w:val="22"/>
        </w:rPr>
        <w:t xml:space="preserve">Consumer Staples overlay: investigate a defensive-mega-cap uplift overlay for issuers meeting (market cap &gt; $100B) ∩ (revenue stability &gt; threshold) ∩ (sector ∈ staples/mega-defensive). Headroom is +2 to +3 notches to close the observed gap on PG/WMT/KHC/ADM. Model risk: the overlay would be lightly-evidenced at roll-out; would need a multi-year out-of-sample test before being trusted in production.</w:t>
      </w:r>
    </w:p>
    <w:p>
      <w:pPr>
        <w:pStyle w:val="ListParagraph"/>
        <w:numPr>
          <w:ilvl w:val="0"/>
          <w:numId w:val="2"/>
        </w:numPr>
        <w:spacing w:after="60"/>
      </w:pPr>
      <w:r>
        <w:rPr>
          <w:rFonts w:ascii="Arial" w:cs="Arial" w:eastAsia="Arial" w:hAnsi="Arial"/>
          <w:sz w:val="22"/>
          <w:szCs w:val="22"/>
        </w:rPr>
        <w:t xml:space="preserve">Managed-care overlay: Healthcare-payer specific adjustment for UNH/CI/ELV/ANTM-type issuers whose regulated-insurance economics are under-captured. Concrete mechanism: industry-specific earnings-stability coefficient in the EBIT/interest scoring step.</w:t>
      </w:r>
    </w:p>
    <w:p>
      <w:pPr>
        <w:pStyle w:val="ListParagraph"/>
        <w:numPr>
          <w:ilvl w:val="0"/>
          <w:numId w:val="2"/>
        </w:numPr>
        <w:spacing w:after="60"/>
      </w:pPr>
      <w:r>
        <w:rPr>
          <w:rFonts w:ascii="Arial" w:cs="Arial" w:eastAsia="Arial" w:hAnsi="Arial"/>
          <w:sz w:val="22"/>
          <w:szCs w:val="22"/>
        </w:rPr>
        <w:t xml:space="preserve">Sector cyclicality cap: hard ceilings for Consumer Discretionary Homebuilders (BBB+), E&amp;Ps with single-basin concentration (BBB), commodity chemicals (A-), and similar. Well-documented in the rating-agency sector criteria; straightforward to codify.</w:t>
      </w:r>
    </w:p>
    <w:p>
      <w:pPr>
        <w:pStyle w:val="ListParagraph"/>
        <w:numPr>
          <w:ilvl w:val="0"/>
          <w:numId w:val="2"/>
        </w:numPr>
        <w:spacing w:after="60"/>
      </w:pPr>
      <w:r>
        <w:rPr>
          <w:rFonts w:ascii="Arial" w:cs="Arial" w:eastAsia="Arial" w:hAnsi="Arial"/>
          <w:sz w:val="22"/>
          <w:szCs w:val="22"/>
        </w:rPr>
        <w:t xml:space="preserve">Cyclical-business TTC overlay: when an issuer’s spot financials imply distressed (sub-BB) ratings but the issuer is in a strategically-critical duopoly (BA, MCD), apply a through-the-cycle smoothing mechanism. This is the hardest overlay to design — it requires some form of "normalized earnings" reference — but closes the largest individual gaps.</w:t>
      </w:r>
    </w:p>
    <w:p>
      <w:pPr>
        <w:pStyle w:val="Heading2"/>
        <w:spacing w:after="180" w:before="280"/>
      </w:pPr>
      <w:r>
        <w:rPr>
          <w:rFonts w:ascii="Arial" w:cs="Arial" w:eastAsia="Arial" w:hAnsi="Arial"/>
          <w:b/>
          <w:bCs/>
          <w:sz w:val="28"/>
          <w:szCs w:val="28"/>
        </w:rPr>
        <w:t xml:space="preserve">10.3  Longer-term (structural methodology work)</w:t>
      </w:r>
    </w:p>
    <w:p>
      <w:pPr>
        <w:pStyle w:val="ListParagraph"/>
        <w:numPr>
          <w:ilvl w:val="0"/>
          <w:numId w:val="2"/>
        </w:numPr>
        <w:spacing w:after="60"/>
      </w:pPr>
      <w:r>
        <w:rPr>
          <w:rFonts w:ascii="Arial" w:cs="Arial" w:eastAsia="Arial" w:hAnsi="Arial"/>
          <w:sz w:val="22"/>
          <w:szCs w:val="22"/>
        </w:rPr>
        <w:t xml:space="preserve">Implement banks, insurers, REITs, and utilities methodology paths so the full S&amp;P 500 can be rated end-to-end and the backtest can be run at universe scale.</w:t>
      </w:r>
    </w:p>
    <w:p>
      <w:pPr>
        <w:pStyle w:val="ListParagraph"/>
        <w:numPr>
          <w:ilvl w:val="0"/>
          <w:numId w:val="2"/>
        </w:numPr>
        <w:spacing w:after="60"/>
      </w:pPr>
      <w:r>
        <w:rPr>
          <w:rFonts w:ascii="Arial" w:cs="Arial" w:eastAsia="Arial" w:hAnsi="Arial"/>
          <w:sz w:val="22"/>
          <w:szCs w:val="22"/>
        </w:rPr>
        <w:t xml:space="preserve">Rolling 12-month out-of-sample backtest cadence: re-run this report quarterly against refreshed ground-truth and refreshed financial inputs. Persist each run’s metrics.json to the Outcome Ledger for drift monitoring.</w:t>
      </w:r>
    </w:p>
    <w:p>
      <w:pPr>
        <w:pStyle w:val="ListParagraph"/>
        <w:numPr>
          <w:ilvl w:val="0"/>
          <w:numId w:val="2"/>
        </w:numPr>
        <w:spacing w:after="60"/>
      </w:pPr>
      <w:r>
        <w:rPr>
          <w:rFonts w:ascii="Arial" w:cs="Arial" w:eastAsia="Arial" w:hAnsi="Arial"/>
          <w:sz w:val="22"/>
          <w:szCs w:val="22"/>
        </w:rPr>
        <w:t xml:space="preserve">Formal external methodology publication: the patterns surfaced here (conservative on distressed cyclicals, optimistic on low-debt cyclicals, under-rating defensive mega-caps, under-rating managed care) are defensible and internally consistent. A white paper documenting the methodology + known limitations + calibration plan would accelerate enterprise adoption and is the logical next deliverable after v2 calibration lands.</w:t>
      </w:r>
    </w:p>
    <w:p>
      <w:pPr>
        <w:pStyle w:val="Heading1"/>
        <w:pageBreakBefore/>
        <w:spacing w:after="240" w:before="360"/>
      </w:pPr>
      <w:r>
        <w:rPr>
          <w:rFonts w:ascii="Arial" w:cs="Arial" w:eastAsia="Arial" w:hAnsi="Arial"/>
          <w:b/>
          <w:bCs/>
          <w:sz w:val="36"/>
          <w:szCs w:val="36"/>
        </w:rPr>
        <w:t xml:space="preserve">Appendix A — Rating Scale Reference</w:t>
      </w:r>
    </w:p>
    <w:p>
      <w:pPr>
        <w:spacing w:after="120"/>
      </w:pPr>
      <w:r>
        <w:t xml:space="preserve">21-notch aligned rating scale used throughout this report. "Tier" is the coarse bucket used in the confusion matrix and per-GT-bucket bias analysis.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1200"/>
        <w:gridCol w:w="2400"/>
        <w:gridCol w:w="2400"/>
        <w:gridCol w:w="1560"/>
      </w:tblGrid>
      <w:tr>
        <w:tc>
          <w:tcPr>
            <w:tcW w:type="dxa" w:w="18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Notch</w:t>
            </w:r>
          </w:p>
        </w:tc>
        <w:tc>
          <w:tcPr>
            <w:tcW w:type="dxa" w:w="12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Tier</w:t>
            </w:r>
          </w:p>
        </w:tc>
        <w:tc>
          <w:tcPr>
            <w:tcW w:type="dxa" w:w="2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S&amp;P</w:t>
            </w:r>
          </w:p>
        </w:tc>
        <w:tc>
          <w:tcPr>
            <w:tcW w:type="dxa" w:w="240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Moody’s</w:t>
            </w:r>
          </w:p>
        </w:tc>
        <w:tc>
          <w:tcPr>
            <w:tcW w:type="dxa" w:w="1560"/>
            <w:tcBorders>
              <w:top w:val="single" w:color="CCCCCC" w:sz="1"/>
              <w:left w:val="single" w:color="CCCCCC" w:sz="1"/>
              <w:bottom w:val="single" w:color="CCCCCC" w:sz="1"/>
              <w:right w:val="single" w:color="CCCCCC" w:sz="1"/>
            </w:tcBorders>
            <w:shd w:fill="D9E1F2" w:val="clear"/>
            <w:tcMar>
              <w:top w:type="dxa" w:w="80"/>
              <w:left w:type="dxa" w:w="120"/>
              <w:bottom w:type="dxa" w:w="80"/>
              <w:right w:type="dxa" w:w="120"/>
            </w:tcMar>
          </w:tcPr>
          <w:p>
            <w:pPr>
              <w:spacing w:after="0"/>
              <w:jc w:val="center"/>
            </w:pPr>
            <w:r>
              <w:rPr>
                <w:rFonts w:ascii="Arial" w:cs="Arial" w:eastAsia="Arial" w:hAnsi="Arial"/>
                <w:b/>
                <w:bCs/>
                <w:sz w:val="20"/>
                <w:szCs w:val="20"/>
              </w:rPr>
              <w:t xml:space="preserve">Grade</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3</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AAA/AA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Aa3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7</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A3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8</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Baa1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Baa2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Baa3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IG (floor)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 (crossover)</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13</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Ba3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14</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15</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16</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B3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HY</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17</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Caa1</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Distressed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18</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Caa2</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Distressed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19</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Caa3</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Distressed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20</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Ca</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Distressed</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21</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Near default</w:t>
            </w:r>
          </w:p>
        </w:tc>
      </w:tr>
      <w:tr>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bCs/>
                <w:sz w:val="18"/>
                <w:szCs w:val="18"/>
              </w:rPr>
              <w:t xml:space="preserve">22</w:t>
            </w:r>
          </w:p>
        </w:tc>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CCC/lower</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w:t>
            </w:r>
          </w:p>
        </w:tc>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w:t>
            </w:r>
          </w:p>
        </w:tc>
        <w:tc>
          <w:tcPr>
            <w:tcW w:type="dxa" w:w="1560"/>
            <w:tcBorders>
              <w:top w:val="single" w:color="CCCCCC" w:sz="1"/>
              <w:left w:val="single" w:color="CCCCCC" w:sz="1"/>
              <w:bottom w:val="single" w:color="CCCCCC" w:sz="1"/>
              <w:right w:val="single" w:color="CCCCCC" w:sz="1"/>
            </w:tcBorders>
            <w:tcMar>
              <w:top w:type="dxa" w:w="80"/>
              <w:left w:type="dxa" w:w="120"/>
              <w:bottom w:type="dxa" w:w="80"/>
              <w:right w:type="dxa" w:w="120"/>
            </w:tcMar>
          </w:tcPr>
          <w:p>
            <w:pPr>
              <w:spacing w:after="0"/>
              <w:jc w:val="center"/>
            </w:pPr>
            <w:r>
              <w:rPr>
                <w:rFonts w:ascii="Arial" w:cs="Arial" w:eastAsia="Arial" w:hAnsi="Arial"/>
                <w:b w:val="false"/>
                <w:bCs w:val="false"/>
                <w:sz w:val="18"/>
                <w:szCs w:val="18"/>
              </w:rPr>
              <w:t xml:space="preserve">Default</w:t>
            </w:r>
          </w:p>
        </w:tc>
      </w:tr>
    </w:tbl>
    <w:p>
      <w:pPr>
        <w:spacing w:after="100"/>
      </w:pPr>
      <w:r>
        <w:t xml:space="preserve"/>
      </w:r>
    </w:p>
    <w:p>
      <w:pPr>
        <w:pStyle w:val="Heading2"/>
        <w:spacing w:after="180" w:before="280"/>
      </w:pPr>
      <w:r>
        <w:rPr>
          <w:rFonts w:ascii="Arial" w:cs="Arial" w:eastAsia="Arial" w:hAnsi="Arial"/>
          <w:b/>
          <w:bCs/>
          <w:sz w:val="28"/>
          <w:szCs w:val="28"/>
        </w:rPr>
        <w:t xml:space="preserve">Appendix B — Reproducing This Report</w:t>
      </w:r>
    </w:p>
    <w:p>
      <w:pPr>
        <w:pStyle w:val="ListParagraph"/>
        <w:numPr>
          <w:ilvl w:val="0"/>
          <w:numId w:val="2"/>
        </w:numPr>
        <w:spacing w:after="60"/>
      </w:pPr>
      <w:r>
        <w:rPr>
          <w:rFonts w:ascii="Arial" w:cs="Arial" w:eastAsia="Arial" w:hAnsi="Arial"/>
          <w:sz w:val="22"/>
          <w:szCs w:val="22"/>
        </w:rPr>
        <w:t xml:space="preserve">Sampling: cd sp500_backtest &amp;&amp; node sample_sp500.js → writes sampled_tickers.json</w:t>
      </w:r>
    </w:p>
    <w:p>
      <w:pPr>
        <w:pStyle w:val="ListParagraph"/>
        <w:numPr>
          <w:ilvl w:val="0"/>
          <w:numId w:val="2"/>
        </w:numPr>
        <w:spacing w:after="60"/>
      </w:pPr>
      <w:r>
        <w:rPr>
          <w:rFonts w:ascii="Arial" w:cs="Arial" w:eastAsia="Arial" w:hAnsi="Arial"/>
          <w:sz w:val="22"/>
          <w:szCs w:val="22"/>
        </w:rPr>
        <w:t xml:space="preserve">Rating: node backtest_runner.js → writes results/envelopes.jsonl + results/run_manifest.json</w:t>
      </w:r>
    </w:p>
    <w:p>
      <w:pPr>
        <w:pStyle w:val="ListParagraph"/>
        <w:numPr>
          <w:ilvl w:val="0"/>
          <w:numId w:val="2"/>
        </w:numPr>
        <w:spacing w:after="60"/>
      </w:pPr>
      <w:r>
        <w:rPr>
          <w:rFonts w:ascii="Arial" w:cs="Arial" w:eastAsia="Arial" w:hAnsi="Arial"/>
          <w:sz w:val="22"/>
          <w:szCs w:val="22"/>
        </w:rPr>
        <w:t xml:space="preserve">Metrics: node metrics.js → writes results/metrics.json + results/per_ticker_deltas.csv</w:t>
      </w:r>
    </w:p>
    <w:p>
      <w:pPr>
        <w:pStyle w:val="ListParagraph"/>
        <w:numPr>
          <w:ilvl w:val="0"/>
          <w:numId w:val="2"/>
        </w:numPr>
        <w:spacing w:after="60"/>
      </w:pPr>
      <w:r>
        <w:rPr>
          <w:rFonts w:ascii="Arial" w:cs="Arial" w:eastAsia="Arial" w:hAnsi="Arial"/>
          <w:sz w:val="22"/>
          <w:szCs w:val="22"/>
        </w:rPr>
        <w:t xml:space="preserve">Report: node build_report_docx.js → writes helios_app/SP500_BACKTEST_PILOT_REPORT.docx</w:t>
      </w:r>
    </w:p>
    <w:p>
      <w:pPr>
        <w:pStyle w:val="ListParagraph"/>
        <w:numPr>
          <w:ilvl w:val="0"/>
          <w:numId w:val="2"/>
        </w:numPr>
        <w:spacing w:after="60"/>
      </w:pPr>
      <w:r>
        <w:rPr>
          <w:rFonts w:ascii="Arial" w:cs="Arial" w:eastAsia="Arial" w:hAnsi="Arial"/>
          <w:sz w:val="22"/>
          <w:szCs w:val="22"/>
        </w:rPr>
        <w:t xml:space="preserve">Seed is hard-coded to 42. Ground truth is sp500_ground_truth_ratings.json (committed). Financial inputs are ticker_financials.js (committed). For a given combination of those three files, all outputs are deterministic.</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7F7F7F"/>
        <w:sz w:val="18"/>
        <w:szCs w:val="18"/>
      </w:rPr>
      <w:t xml:space="preserve">Page </w:t>
    </w:r>
    <w:r>
      <w:rPr>
        <w:rFonts w:ascii="Arial" w:cs="Arial" w:eastAsia="Arial" w:hAnsi="Arial"/>
        <w:color w:val="7F7F7F"/>
        <w:sz w:val="18"/>
        <w:szCs w:val="18"/>
      </w:rPr>
      <w:fldChar w:fldCharType="begin"/>
      <w:instrText xml:space="preserve">PAGE</w:instrText>
      <w:fldChar w:fldCharType="separate"/>
      <w:fldChar w:fldCharType="end"/>
    </w:r>
    <w:r>
      <w:rPr>
        <w:rFonts w:ascii="Arial" w:cs="Arial" w:eastAsia="Arial" w:hAnsi="Arial"/>
        <w:color w:val="7F7F7F"/>
        <w:sz w:val="18"/>
        <w:szCs w:val="18"/>
      </w:rPr>
      <w:t xml:space="preserve"> of </w:t>
    </w:r>
    <w:r>
      <w:rPr>
        <w:rFonts w:ascii="Arial" w:cs="Arial" w:eastAsia="Arial" w:hAnsi="Arial"/>
        <w:color w:val="7F7F7F"/>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7F7F7F"/>
        <w:sz w:val="18"/>
        <w:szCs w:val="18"/>
      </w:rPr>
      <w:t xml:space="preserve">Helios Credit Rating Engine  —  S&amp;P 500 Backtest Pilot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360"/>
      <w:outlineLvl w:val="0"/>
    </w:pPr>
    <w:rPr>
      <w:rFonts w:ascii="Arial" w:cs="Arial" w:eastAsia="Arial" w:hAnsi="Arial"/>
      <w:b/>
      <w:bCs/>
      <w:color w:val="1F4E79"/>
      <w:sz w:val="36"/>
      <w:szCs w:val="36"/>
    </w:rPr>
  </w:style>
  <w:style w:type="paragraph" w:styleId="Heading2">
    <w:name w:val="Heading 2"/>
    <w:basedOn w:val="Normal"/>
    <w:next w:val="Normal"/>
    <w:qFormat/>
    <w:pPr>
      <w:spacing w:after="180" w:before="28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0404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S&amp;P 500 Backtest Pilot Report</dc:title>
  <dc:creator>Helios Credit Rating Engine</dc:creator>
  <dc:description>Helios-implied ratings vs actual agency ratings, 31-ticker pilot subset</dc:description>
  <cp:lastModifiedBy>Un-named</cp:lastModifiedBy>
  <cp:revision>1</cp:revision>
  <dcterms:created xsi:type="dcterms:W3CDTF">2026-04-22T02:40:08.203Z</dcterms:created>
  <dcterms:modified xsi:type="dcterms:W3CDTF">2026-04-22T02:40:08.203Z</dcterms:modified>
</cp:coreProperties>
</file>

<file path=docProps/custom.xml><?xml version="1.0" encoding="utf-8"?>
<Properties xmlns="http://schemas.openxmlformats.org/officeDocument/2006/custom-properties" xmlns:vt="http://schemas.openxmlformats.org/officeDocument/2006/docPropsVTypes"/>
</file>