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1200"/>
        <w:jc w:val="center"/>
      </w:pPr>
      <w:r>
        <w:rPr>
          <w:rFonts w:ascii="Arial" w:cs="Arial" w:eastAsia="Arial" w:hAnsi="Arial"/>
          <w:b/>
          <w:bCs/>
          <w:color w:val="B8935E"/>
          <w:sz w:val="20"/>
          <w:szCs w:val="20"/>
        </w:rPr>
        <w:t xml:space="preserve">SAMPLE — REPRESENTATIVE OUTPUT</w:t>
      </w:r>
    </w:p>
    <w:p>
      <w:pPr>
        <w:spacing w:after="400" w:before="0"/>
        <w:jc w:val="center"/>
      </w:pPr>
      <w:r>
        <w:rPr>
          <w:rFonts w:ascii="Arial" w:cs="Arial" w:eastAsia="Arial" w:hAnsi="Arial"/>
          <w:b/>
          <w:bCs/>
          <w:color w:val="1E2A44"/>
          <w:sz w:val="40"/>
          <w:szCs w:val="40"/>
        </w:rPr>
        <w:t xml:space="preserve">SENTINEL RATINGS</w:t>
      </w:r>
    </w:p>
    <w:p>
      <w:pPr>
        <w:pBdr>
          <w:bottom w:val="single" w:color="B8935E" w:sz="12" w:space="8"/>
        </w:pBdr>
        <w:spacing w:after="240" w:before="0"/>
        <w:jc w:val="center"/>
      </w:pPr>
      <w:r>
        <w:rPr>
          <w:rFonts w:ascii="Arial" w:cs="Arial" w:eastAsia="Arial" w:hAnsi="Arial"/>
          <w:b/>
          <w:bCs/>
          <w:color w:val="5A6374"/>
          <w:sz w:val="18"/>
          <w:szCs w:val="18"/>
        </w:rPr>
        <w:t xml:space="preserve">CONTINUOUS CREDIT SURVEILLANCE</w:t>
      </w:r>
    </w:p>
    <w:p>
      <w:pPr>
        <w:spacing w:after="200" w:before="400"/>
        <w:jc w:val="center"/>
      </w:pPr>
      <w:r>
        <w:rPr>
          <w:rFonts w:ascii="Arial" w:cs="Arial" w:eastAsia="Arial" w:hAnsi="Arial"/>
          <w:b/>
          <w:bCs/>
          <w:color w:val="1E2A44"/>
          <w:sz w:val="32"/>
          <w:szCs w:val="32"/>
        </w:rPr>
        <w:t xml:space="preserve">INVESTMENT COMMITTEE MEMORANDUM</w:t>
      </w:r>
    </w:p>
    <w:p>
      <w:pPr>
        <w:spacing w:after="120" w:before="0"/>
        <w:jc w:val="center"/>
      </w:pPr>
      <w:r>
        <w:rPr>
          <w:rFonts w:ascii="Arial" w:cs="Arial" w:eastAsia="Arial" w:hAnsi="Arial"/>
          <w:b/>
          <w:bCs/>
          <w:color w:val="1E2A44"/>
          <w:sz w:val="36"/>
          <w:szCs w:val="36"/>
        </w:rPr>
        <w:t xml:space="preserve">The Boeing Company</w:t>
      </w:r>
    </w:p>
    <w:p>
      <w:pPr>
        <w:spacing w:after="600" w:before="0"/>
        <w:jc w:val="center"/>
      </w:pPr>
      <w:r>
        <w:rPr>
          <w:rFonts w:ascii="Arial" w:cs="Arial" w:eastAsia="Arial" w:hAnsi="Arial"/>
          <w:color w:val="5A6374"/>
          <w:sz w:val="22"/>
          <w:szCs w:val="22"/>
        </w:rPr>
        <w:t xml:space="preserve">NYSE: BA   •   CIK 0000012927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8DFCB" w:sz="4"/>
              <w:left w:val="single" w:color="E8DFCB" w:sz="4"/>
              <w:bottom w:val="single" w:color="E8DFCB" w:sz="4"/>
              <w:right w:val="single" w:color="E8DFCB" w:sz="4"/>
            </w:tcBorders>
            <w:shd w:fill="F7F2E8" w:val="clear"/>
            <w:tcMar>
              <w:top w:type="dxa" w:w="100"/>
              <w:left w:type="dxa" w:w="140"/>
              <w:bottom w:type="dxa" w:w="100"/>
              <w:right w:type="dxa" w:w="140"/>
            </w:tcMar>
          </w:tcPr>
          <w:p>
            <w:pPr>
              <w:jc w:val="center"/>
            </w:pPr>
            <w:r>
              <w:rPr>
                <w:rFonts w:ascii="Arial" w:cs="Arial" w:eastAsia="Arial" w:hAnsi="Arial"/>
                <w:b/>
                <w:bCs/>
                <w:color w:val="5A6374"/>
                <w:sz w:val="18"/>
                <w:szCs w:val="18"/>
              </w:rPr>
              <w:t xml:space="preserve">BLENDED IMPLIED</w:t>
            </w:r>
          </w:p>
        </w:tc>
        <w:tc>
          <w:tcPr>
            <w:tcW w:type="dxa" w:w="4680"/>
            <w:tcBorders>
              <w:top w:val="single" w:color="E8DFCB" w:sz="4"/>
              <w:left w:val="single" w:color="E8DFCB" w:sz="4"/>
              <w:bottom w:val="single" w:color="E8DFCB" w:sz="4"/>
              <w:right w:val="single" w:color="E8DFCB" w:sz="4"/>
            </w:tcBorders>
            <w:shd w:fill="F7F2E8" w:val="clear"/>
            <w:tcMar>
              <w:top w:type="dxa" w:w="100"/>
              <w:left w:type="dxa" w:w="140"/>
              <w:bottom w:type="dxa" w:w="100"/>
              <w:right w:type="dxa" w:w="140"/>
            </w:tcMar>
          </w:tcPr>
          <w:p>
            <w:pPr>
              <w:jc w:val="center"/>
            </w:pPr>
            <w:r>
              <w:rPr>
                <w:rFonts w:ascii="Arial" w:cs="Arial" w:eastAsia="Arial" w:hAnsi="Arial"/>
                <w:b/>
                <w:bCs/>
                <w:color w:val="5A6374"/>
                <w:sz w:val="18"/>
                <w:szCs w:val="18"/>
              </w:rPr>
              <w:t xml:space="preserve">SENTINEL ADJUSTED</w:t>
            </w:r>
          </w:p>
        </w:tc>
      </w:tr>
      <w:tr>
        <w:tc>
          <w:tcPr>
            <w:tcW w:type="dxa" w:w="4680"/>
            <w:tcBorders>
              <w:top w:val="single" w:color="E8DFCB" w:sz="4"/>
              <w:left w:val="single" w:color="E8DFCB" w:sz="4"/>
              <w:bottom w:val="single" w:color="E8DFCB" w:sz="4"/>
              <w:right w:val="single" w:color="E8DFCB" w:sz="4"/>
            </w:tcBorders>
            <w:shd w:fill="FFFFFF" w:val="clear"/>
            <w:tcMar>
              <w:top w:type="dxa" w:w="100"/>
              <w:left w:type="dxa" w:w="140"/>
              <w:bottom w:type="dxa" w:w="100"/>
              <w:right w:type="dxa" w:w="140"/>
            </w:tcMar>
          </w:tcPr>
          <w:p>
            <w:pPr>
              <w:jc w:val="center"/>
            </w:pPr>
            <w:r>
              <w:rPr>
                <w:rFonts w:ascii="Arial" w:cs="Arial" w:eastAsia="Arial" w:hAnsi="Arial"/>
                <w:b/>
                <w:bCs/>
                <w:color w:val="1E2A44"/>
                <w:sz w:val="72"/>
                <w:szCs w:val="72"/>
              </w:rPr>
              <w:t xml:space="preserve">BB+</w:t>
            </w:r>
          </w:p>
        </w:tc>
        <w:tc>
          <w:tcPr>
            <w:tcW w:type="dxa" w:w="4680"/>
            <w:tcBorders>
              <w:top w:val="single" w:color="E8DFCB" w:sz="4"/>
              <w:left w:val="single" w:color="E8DFCB" w:sz="4"/>
              <w:bottom w:val="single" w:color="E8DFCB" w:sz="4"/>
              <w:right w:val="single" w:color="E8DFCB" w:sz="4"/>
            </w:tcBorders>
            <w:shd w:fill="FFFFFF" w:val="clear"/>
            <w:tcMar>
              <w:top w:type="dxa" w:w="100"/>
              <w:left w:type="dxa" w:w="140"/>
              <w:bottom w:type="dxa" w:w="100"/>
              <w:right w:type="dxa" w:w="140"/>
            </w:tcMar>
          </w:tcPr>
          <w:p>
            <w:pPr>
              <w:jc w:val="center"/>
            </w:pPr>
            <w:r>
              <w:rPr>
                <w:rFonts w:ascii="Arial" w:cs="Arial" w:eastAsia="Arial" w:hAnsi="Arial"/>
                <w:b/>
                <w:bCs/>
                <w:color w:val="1E2A44"/>
                <w:sz w:val="72"/>
                <w:szCs w:val="72"/>
              </w:rPr>
              <w:t xml:space="preserve">BBB-</w:t>
            </w:r>
          </w:p>
        </w:tc>
      </w:tr>
      <w:tr>
        <w:tc>
          <w:tcPr>
            <w:tcW w:type="dxa" w:w="4680"/>
            <w:tcBorders>
              <w:top w:val="single" w:color="E8DFCB" w:sz="4"/>
              <w:left w:val="single" w:color="E8DFCB" w:sz="4"/>
              <w:bottom w:val="single" w:color="E8DFCB" w:sz="4"/>
              <w:right w:val="single" w:color="E8DFCB" w:sz="4"/>
            </w:tcBorders>
            <w:shd w:fill="FFFFFF" w:val="clear"/>
            <w:tcMar>
              <w:top w:type="dxa" w:w="100"/>
              <w:left w:type="dxa" w:w="140"/>
              <w:bottom w:type="dxa" w:w="100"/>
              <w:right w:type="dxa" w:w="140"/>
            </w:tcMar>
          </w:tcPr>
          <w:p>
            <w:pPr>
              <w:jc w:val="center"/>
            </w:pPr>
            <w:r>
              <w:rPr>
                <w:rFonts w:ascii="Arial" w:cs="Arial" w:eastAsia="Arial" w:hAnsi="Arial"/>
                <w:b w:val="false"/>
                <w:bCs w:val="false"/>
                <w:color w:val="5A6374"/>
                <w:sz w:val="16"/>
                <w:szCs w:val="16"/>
              </w:rPr>
              <w:t xml:space="preserve">Pre-overlay methodology blend</w:t>
            </w:r>
          </w:p>
        </w:tc>
        <w:tc>
          <w:tcPr>
            <w:tcW w:type="dxa" w:w="4680"/>
            <w:tcBorders>
              <w:top w:val="single" w:color="E8DFCB" w:sz="4"/>
              <w:left w:val="single" w:color="E8DFCB" w:sz="4"/>
              <w:bottom w:val="single" w:color="E8DFCB" w:sz="4"/>
              <w:right w:val="single" w:color="E8DFCB" w:sz="4"/>
            </w:tcBorders>
            <w:shd w:fill="FFFFFF" w:val="clear"/>
            <w:tcMar>
              <w:top w:type="dxa" w:w="100"/>
              <w:left w:type="dxa" w:w="140"/>
              <w:bottom w:type="dxa" w:w="100"/>
              <w:right w:type="dxa" w:w="140"/>
            </w:tcMar>
          </w:tcPr>
          <w:p>
            <w:pPr>
              <w:jc w:val="center"/>
            </w:pPr>
            <w:r>
              <w:rPr>
                <w:rFonts w:ascii="Arial" w:cs="Arial" w:eastAsia="Arial" w:hAnsi="Arial"/>
                <w:b/>
                <w:bCs/>
                <w:color w:val="B8935E"/>
                <w:sz w:val="16"/>
                <w:szCs w:val="16"/>
              </w:rPr>
              <w:t xml:space="preserve">+1 notch net after overlays</w:t>
            </w:r>
          </w:p>
        </w:tc>
      </w:tr>
    </w:tbl>
    <w:p>
      <w:pPr>
        <w:spacing w:after="120" w:before="600"/>
        <w:jc w:val="center"/>
      </w:pPr>
      <w:r>
        <w:rPr>
          <w:rFonts w:ascii="Arial" w:cs="Arial" w:eastAsia="Arial" w:hAnsi="Arial"/>
          <w:color w:val="5A6374"/>
          <w:sz w:val="20"/>
          <w:szCs w:val="20"/>
        </w:rPr>
        <w:t xml:space="preserve">Agency Reference (public, as of publication):</w:t>
      </w:r>
    </w:p>
    <w:p>
      <w:pPr>
        <w:spacing w:after="500" w:before="0"/>
        <w:jc w:val="center"/>
      </w:pPr>
      <w:r>
        <w:rPr>
          <w:rFonts w:ascii="Arial" w:cs="Arial" w:eastAsia="Arial" w:hAnsi="Arial"/>
          <w:b/>
          <w:bCs/>
          <w:color w:val="1E2A44"/>
          <w:sz w:val="22"/>
          <w:szCs w:val="22"/>
        </w:rPr>
        <w:t xml:space="preserve">S&amp;P: BBB-      Moody’s: Baa3      Fitch: BBB-</w:t>
      </w:r>
    </w:p>
    <w:p>
      <w:pPr>
        <w:spacing w:after="120" w:before="800"/>
        <w:jc w:val="center"/>
      </w:pPr>
      <w:r>
        <w:rPr>
          <w:rFonts w:ascii="Arial" w:cs="Arial" w:eastAsia="Arial" w:hAnsi="Arial"/>
          <w:color w:val="5A6374"/>
          <w:sz w:val="18"/>
          <w:szCs w:val="18"/>
        </w:rPr>
        <w:t xml:space="preserve">Prepared by:   Sentinel Credit Engine   •   Methodology Blend: S&amp;P 35% / Moody’s 35% / Fitch 30%</w:t>
      </w:r>
    </w:p>
    <w:p>
      <w:pPr>
        <w:spacing w:after="120" w:before="0"/>
        <w:jc w:val="center"/>
      </w:pPr>
      <w:r>
        <w:rPr>
          <w:rFonts w:ascii="Arial" w:cs="Arial" w:eastAsia="Arial" w:hAnsi="Arial"/>
          <w:i/>
          <w:iCs/>
          <w:color w:val="5A6374"/>
          <w:sz w:val="16"/>
          <w:szCs w:val="16"/>
        </w:rPr>
        <w:t xml:space="preserve">Document type: Sample / illustrative. Not a current rating opinion.</w:t>
      </w:r>
    </w:p>
    <w:p>
      <w:pPr>
        <w:spacing w:after="120" w:before="0"/>
        <w:jc w:val="center"/>
      </w:pPr>
      <w:r>
        <w:rPr>
          <w:rFonts w:ascii="Arial" w:cs="Arial" w:eastAsia="Arial" w:hAnsi="Arial"/>
          <w:i/>
          <w:iCs/>
          <w:color w:val="5A6374"/>
          <w:sz w:val="16"/>
          <w:szCs w:val="16"/>
        </w:rPr>
        <w:t xml:space="preserve">Sentinel Credit is not a Nationally Recognized Statistical Rating Organization (NRSRO).</w:t>
      </w:r>
    </w:p>
    <w:p>
      <w:r>
        <w:br w:type="page"/>
      </w:r>
    </w:p>
    <w:p>
      <w:pPr>
        <w:pStyle w:val="Heading1"/>
        <w:spacing w:after="160" w:before="320"/>
      </w:pPr>
      <w:r>
        <w:rPr>
          <w:rFonts w:ascii="Arial" w:cs="Arial" w:eastAsia="Arial" w:hAnsi="Arial"/>
          <w:b/>
          <w:bCs/>
          <w:color w:val="1E2A44"/>
          <w:sz w:val="30"/>
          <w:szCs w:val="30"/>
        </w:rPr>
        <w:t xml:space="preserve">§1  Executive Summary</w:t>
      </w:r>
    </w:p>
    <w:p>
      <w:pPr>
        <w:spacing w:after="200" w:before="0"/>
        <w:jc w:val="left"/>
      </w:pPr>
      <w:r>
        <w:rPr>
          <w:rFonts w:ascii="Arial" w:cs="Arial" w:eastAsia="Arial" w:hAnsi="Arial"/>
          <w:b w:val="false"/>
          <w:bCs w:val="false"/>
          <w:i w:val="false"/>
          <w:iCs w:val="false"/>
          <w:color w:val="1E2A44"/>
          <w:sz w:val="22"/>
          <w:szCs w:val="22"/>
        </w:rPr>
        <w:t xml:space="preserve">Boeing sits at the lowest rung of investment grade across all three major agencies (S&amp;P BBB-, Moody’s Baa3, Fitch BBB-). Sentinel’s methodology-blended pre-overlay rating of BB+ reflects the raw financial profile — leverage, interest coverage, and free-cash-flow conversion are all consistent with a low speculative-grade issuer on a point-in-time basis.</w:t>
      </w:r>
    </w:p>
    <w:p>
      <w:pPr>
        <w:spacing w:after="200" w:before="0"/>
        <w:jc w:val="left"/>
      </w:pPr>
      <w:r>
        <w:rPr>
          <w:rFonts w:ascii="Arial" w:cs="Arial" w:eastAsia="Arial" w:hAnsi="Arial"/>
          <w:b w:val="false"/>
          <w:bCs w:val="false"/>
          <w:i w:val="false"/>
          <w:iCs w:val="false"/>
          <w:color w:val="1E2A44"/>
          <w:sz w:val="22"/>
          <w:szCs w:val="22"/>
        </w:rPr>
        <w:t xml:space="preserve">After applying documented overlays (cyclical-peak normalization, business-profile uplift, liquidity support, and sovereign-related support qualifier), Sentinel’s Adjusted rating lands at BBB- — one notch above the blended implied rating, aligned with the agency consensus but with a materially different, more conservative rationale.</w:t>
      </w:r>
    </w:p>
    <w:p>
      <w:pPr>
        <w:pStyle w:val="Heading3"/>
        <w:spacing w:after="80" w:before="180"/>
      </w:pPr>
      <w:r>
        <w:rPr>
          <w:rFonts w:ascii="Arial" w:cs="Arial" w:eastAsia="Arial" w:hAnsi="Arial"/>
          <w:b/>
          <w:bCs/>
          <w:color w:val="1E2A44"/>
          <w:sz w:val="22"/>
          <w:szCs w:val="22"/>
        </w:rPr>
        <w:t xml:space="preserve">Verdict</w:t>
      </w:r>
    </w:p>
    <w:p>
      <w:pPr>
        <w:spacing w:after="200" w:before="0"/>
        <w:jc w:val="left"/>
      </w:pPr>
      <w:r>
        <w:rPr>
          <w:rFonts w:ascii="Arial" w:cs="Arial" w:eastAsia="Arial" w:hAnsi="Arial"/>
          <w:b w:val="false"/>
          <w:bCs w:val="false"/>
          <w:i w:val="false"/>
          <w:iCs w:val="false"/>
          <w:color w:val="1E2A44"/>
          <w:sz w:val="22"/>
          <w:szCs w:val="22"/>
        </w:rPr>
        <w:t xml:space="preserve">Investment-grade status is defensible but fragile. The gap between the pre-overlay BB+ and the adjusted BBB- is structural, not transitory — it depends on the sustainability of the aerospace duopoly, continued government defense spend, and successful 737 MAX / 777X execution. A single-notch agency downgrade would trigger forced selling across investment-grade-mandated portfolios.</w:t>
      </w:r>
    </w:p>
    <w:p>
      <w:pPr>
        <w:pStyle w:val="Heading3"/>
        <w:spacing w:after="80" w:before="180"/>
      </w:pPr>
      <w:r>
        <w:rPr>
          <w:rFonts w:ascii="Arial" w:cs="Arial" w:eastAsia="Arial" w:hAnsi="Arial"/>
          <w:b/>
          <w:bCs/>
          <w:color w:val="1E2A44"/>
          <w:sz w:val="22"/>
          <w:szCs w:val="22"/>
        </w:rPr>
        <w:t xml:space="preserve">One-paragraph rationale</w:t>
      </w:r>
    </w:p>
    <w:p>
      <w:pPr>
        <w:spacing w:after="200" w:before="0"/>
        <w:jc w:val="left"/>
      </w:pPr>
      <w:r>
        <w:rPr>
          <w:rFonts w:ascii="Arial" w:cs="Arial" w:eastAsia="Arial" w:hAnsi="Arial"/>
          <w:b w:val="false"/>
          <w:bCs w:val="false"/>
          <w:i w:val="false"/>
          <w:iCs w:val="false"/>
          <w:color w:val="1E2A44"/>
          <w:sz w:val="22"/>
          <w:szCs w:val="22"/>
        </w:rPr>
        <w:t xml:space="preserve">Raw financial ratios alone produce a rating well below investment grade. The structural offsets — duopoly market position, multi-decade order backlog, sovereign-adjacent defense exposure, and committed liquidity facilities — are real and well-documented. However, three of the four overlays are conditional on execution (MAX recertification delivery pace, 777X entry-into-service, defense contract renewal). Sentinel’s overlay-by-overlay attribution makes this conditionality explicit in Section 5.</w:t>
      </w:r>
    </w:p>
    <w:p>
      <w:pPr>
        <w:pStyle w:val="Heading3"/>
        <w:spacing w:after="80" w:before="180"/>
      </w:pPr>
      <w:r>
        <w:rPr>
          <w:rFonts w:ascii="Arial" w:cs="Arial" w:eastAsia="Arial" w:hAnsi="Arial"/>
          <w:b/>
          <w:bCs/>
          <w:color w:val="1E2A44"/>
          <w:sz w:val="22"/>
          <w:szCs w:val="22"/>
        </w:rPr>
        <w:t xml:space="preserve">Recommendation</w:t>
      </w:r>
    </w:p>
    <w:p>
      <w:pPr>
        <w:pStyle w:val="ListParagraph"/>
        <w:numPr>
          <w:ilvl w:val="0"/>
          <w:numId w:val="2"/>
        </w:numPr>
        <w:spacing w:after="80" w:before="0"/>
      </w:pPr>
      <w:r>
        <w:rPr>
          <w:rFonts w:ascii="Arial" w:cs="Arial" w:eastAsia="Arial" w:hAnsi="Arial"/>
          <w:color w:val="1E2A44"/>
          <w:sz w:val="22"/>
          <w:szCs w:val="22"/>
        </w:rPr>
        <w:t xml:space="preserve">HOLD at investment grade for mandated IG portfolios, with stop-loss at a single-agency downgrade trigger.</w:t>
      </w:r>
    </w:p>
    <w:p>
      <w:pPr>
        <w:pStyle w:val="ListParagraph"/>
        <w:numPr>
          <w:ilvl w:val="0"/>
          <w:numId w:val="2"/>
        </w:numPr>
        <w:spacing w:after="80" w:before="0"/>
      </w:pPr>
      <w:r>
        <w:rPr>
          <w:rFonts w:ascii="Arial" w:cs="Arial" w:eastAsia="Arial" w:hAnsi="Arial"/>
          <w:color w:val="1E2A44"/>
          <w:sz w:val="22"/>
          <w:szCs w:val="22"/>
        </w:rPr>
        <w:t xml:space="preserve">MONITOR 737 MAX delivery cadence and 777X EIS progress quarterly; these are the two execution variables most likely to cause an agency downgrade.</w:t>
      </w:r>
    </w:p>
    <w:p>
      <w:pPr>
        <w:pStyle w:val="ListParagraph"/>
        <w:numPr>
          <w:ilvl w:val="0"/>
          <w:numId w:val="2"/>
        </w:numPr>
        <w:spacing w:after="80" w:before="0"/>
      </w:pPr>
      <w:r>
        <w:rPr>
          <w:rFonts w:ascii="Arial" w:cs="Arial" w:eastAsia="Arial" w:hAnsi="Arial"/>
          <w:color w:val="1E2A44"/>
          <w:sz w:val="22"/>
          <w:szCs w:val="22"/>
        </w:rPr>
        <w:t xml:space="preserve">STRESS-TEST portfolio-level exposure under the combined scenario (Section 7): revenue -10%, margin -20%, rates +200bp produces a three-notch composite downgrade.</w:t>
      </w:r>
    </w:p>
    <w:p>
      <w:r>
        <w:br w:type="page"/>
      </w:r>
    </w:p>
    <w:p>
      <w:pPr>
        <w:pStyle w:val="Heading1"/>
        <w:spacing w:after="160" w:before="320"/>
      </w:pPr>
      <w:r>
        <w:rPr>
          <w:rFonts w:ascii="Arial" w:cs="Arial" w:eastAsia="Arial" w:hAnsi="Arial"/>
          <w:b/>
          <w:bCs/>
          <w:color w:val="1E2A44"/>
          <w:sz w:val="30"/>
          <w:szCs w:val="30"/>
        </w:rPr>
        <w:t xml:space="preserve">§2  Rating Rationale</w:t>
      </w:r>
    </w:p>
    <w:p>
      <w:pPr>
        <w:spacing w:after="200" w:before="0"/>
        <w:jc w:val="left"/>
      </w:pPr>
      <w:r>
        <w:rPr>
          <w:rFonts w:ascii="Arial" w:cs="Arial" w:eastAsia="Arial" w:hAnsi="Arial"/>
          <w:b w:val="false"/>
          <w:bCs w:val="false"/>
          <w:i w:val="false"/>
          <w:iCs w:val="false"/>
          <w:color w:val="1E2A44"/>
          <w:sz w:val="22"/>
          <w:szCs w:val="22"/>
        </w:rPr>
        <w:t xml:space="preserve">Sentinel uses a methodology-weighted blend of the three major agencies: S&amp;P 35%, Moody’s 35%, Fitch 30%. These weights are frozen in the engine under audit X-15 and are applied at the score level (not the PD level) to produce a blended implied score and letter rating before any overlay adjustments are applied.</w:t>
      </w:r>
    </w:p>
    <w:p>
      <w:pPr>
        <w:pStyle w:val="Heading3"/>
        <w:spacing w:after="80" w:before="180"/>
      </w:pPr>
      <w:r>
        <w:rPr>
          <w:rFonts w:ascii="Arial" w:cs="Arial" w:eastAsia="Arial" w:hAnsi="Arial"/>
          <w:b/>
          <w:bCs/>
          <w:color w:val="1E2A44"/>
          <w:sz w:val="22"/>
          <w:szCs w:val="22"/>
        </w:rPr>
        <w:t xml:space="preserve">Blended implied rating derivation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1880"/>
        <w:gridCol w:w="1440"/>
        <w:gridCol w:w="1440"/>
      </w:tblGrid>
      <w:tr>
        <w:tc>
          <w:tcPr>
            <w:tcW w:type="dxa" w:w="26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Methodology</w:t>
            </w:r>
          </w:p>
        </w:tc>
        <w:tc>
          <w:tcPr>
            <w:tcW w:type="dxa" w:w="20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Raw Score</w:t>
            </w:r>
          </w:p>
        </w:tc>
        <w:tc>
          <w:tcPr>
            <w:tcW w:type="dxa" w:w="18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Weight</w:t>
            </w:r>
          </w:p>
        </w:tc>
        <w:tc>
          <w:tcPr>
            <w:tcW w:type="dxa" w:w="144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Letter</w:t>
            </w:r>
          </w:p>
        </w:tc>
        <w:tc>
          <w:tcPr>
            <w:tcW w:type="dxa" w:w="144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Weighted</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S&amp;P Corporate Methodology</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9.2 / 20</w:t>
            </w:r>
          </w:p>
        </w:tc>
        <w:tc>
          <w:tcPr>
            <w:tcW w:type="dxa" w:w="18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35%</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1E2A44"/>
                <w:sz w:val="20"/>
                <w:szCs w:val="20"/>
              </w:rPr>
              <w:t xml:space="preserve">BB</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3.22</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Moody’s CFR Framework</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10.1 / 20</w:t>
            </w:r>
          </w:p>
        </w:tc>
        <w:tc>
          <w:tcPr>
            <w:tcW w:type="dxa" w:w="18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35%</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1E2A44"/>
                <w:sz w:val="20"/>
                <w:szCs w:val="20"/>
              </w:rPr>
              <w:t xml:space="preserve">BB+</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3.54</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Fitch Long-Term IDR</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10.8 / 20</w:t>
            </w:r>
          </w:p>
        </w:tc>
        <w:tc>
          <w:tcPr>
            <w:tcW w:type="dxa" w:w="18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30%</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1E2A44"/>
                <w:sz w:val="20"/>
                <w:szCs w:val="20"/>
              </w:rPr>
              <w:t xml:space="preserve">BB+</w:t>
            </w:r>
          </w:p>
        </w:tc>
        <w:tc>
          <w:tcPr>
            <w:tcW w:type="dxa" w:w="14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3.24</w:t>
            </w:r>
          </w:p>
        </w:tc>
      </w:tr>
      <w:tr>
        <w:tc>
          <w:tcPr>
            <w:tcW w:type="dxa" w:w="26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left"/>
            </w:pPr>
            <w:r>
              <w:rPr>
                <w:rFonts w:ascii="Arial" w:cs="Arial" w:eastAsia="Arial" w:hAnsi="Arial"/>
                <w:b/>
                <w:bCs/>
                <w:color w:val="1E2A44"/>
                <w:sz w:val="20"/>
                <w:szCs w:val="20"/>
              </w:rPr>
              <w:t xml:space="preserve">Blended Implied Score</w:t>
            </w:r>
          </w:p>
        </w:tc>
        <w:tc>
          <w:tcPr>
            <w:tcW w:type="dxa" w:w="20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10.00 / 20</w:t>
            </w:r>
          </w:p>
        </w:tc>
        <w:tc>
          <w:tcPr>
            <w:tcW w:type="dxa" w:w="188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100%</w:t>
            </w:r>
          </w:p>
        </w:tc>
        <w:tc>
          <w:tcPr>
            <w:tcW w:type="dxa" w:w="144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BB+</w:t>
            </w:r>
          </w:p>
        </w:tc>
        <w:tc>
          <w:tcPr>
            <w:tcW w:type="dxa" w:w="144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10.00</w:t>
            </w:r>
          </w:p>
        </w:tc>
      </w:tr>
    </w:tbl>
    <w:p>
      <w:pPr>
        <w:spacing w:after="120" w:before="18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Overlay-adjusted rating derivation</w:t>
      </w:r>
    </w:p>
    <w:p>
      <w:pPr>
        <w:spacing w:after="160" w:before="0"/>
        <w:jc w:val="left"/>
      </w:pPr>
      <w:r>
        <w:rPr>
          <w:rFonts w:ascii="Arial" w:cs="Arial" w:eastAsia="Arial" w:hAnsi="Arial"/>
          <w:b w:val="false"/>
          <w:bCs w:val="false"/>
          <w:i w:val="false"/>
          <w:iCs w:val="false"/>
          <w:color w:val="1E2A44"/>
          <w:sz w:val="22"/>
          <w:szCs w:val="22"/>
        </w:rPr>
        <w:t xml:space="preserve">The Sentinel Adjusted rating applies a set of documented overlays to the blended implied score. Each overlay has a provenance citation, a notch cap, and a conditional trigger. Aggregate overlay impact is capped at ±3 notches under X-12b (overlay envelope).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500"/>
        <w:gridCol w:w="2200"/>
        <w:gridCol w:w="1860"/>
      </w:tblGrid>
      <w:tr>
        <w:tc>
          <w:tcPr>
            <w:tcW w:type="dxa" w:w="38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Overlay (rule)</w:t>
            </w:r>
          </w:p>
        </w:tc>
        <w:tc>
          <w:tcPr>
            <w:tcW w:type="dxa" w:w="15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Notch Δ</w:t>
            </w:r>
          </w:p>
        </w:tc>
        <w:tc>
          <w:tcPr>
            <w:tcW w:type="dxa" w:w="22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Audit Ref</w:t>
            </w:r>
          </w:p>
        </w:tc>
        <w:tc>
          <w:tcPr>
            <w:tcW w:type="dxa" w:w="186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Fired</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bCs/>
                <w:color w:val="1E2A44"/>
                <w:sz w:val="20"/>
                <w:szCs w:val="20"/>
              </w:rPr>
              <w:t xml:space="preserve">Blended Implied (pre-overlay)</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1E2A44"/>
                <w:sz w:val="20"/>
                <w:szCs w:val="20"/>
              </w:rPr>
              <w:t xml:space="preserve">—</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X-15 blend rule</w:t>
            </w:r>
          </w:p>
        </w:tc>
        <w:tc>
          <w:tcPr>
            <w:tcW w:type="dxa" w:w="186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BB+</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Cyclical-peak EBITDA normalization</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0</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CYCLICAL_PEAK (U4a)</w:t>
            </w:r>
          </w:p>
        </w:tc>
        <w:tc>
          <w:tcPr>
            <w:tcW w:type="dxa" w:w="18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No (trough regime)</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Business-profile uplift (aerospace duopoly)</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B8935E"/>
                <w:sz w:val="20"/>
                <w:szCs w:val="20"/>
              </w:rPr>
              <w:t xml:space="preserve">+1</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BA-BIZPROFILE</w:t>
            </w:r>
          </w:p>
        </w:tc>
        <w:tc>
          <w:tcPr>
            <w:tcW w:type="dxa" w:w="18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Yes (moat=2, staple=1)</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Liquidity support modifier</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B8935E"/>
                <w:sz w:val="20"/>
                <w:szCs w:val="20"/>
              </w:rPr>
              <w:t xml:space="preserve">+1</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S&amp;P Liquidity (U3)</w:t>
            </w:r>
          </w:p>
        </w:tc>
        <w:tc>
          <w:tcPr>
            <w:tcW w:type="dxa" w:w="18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Yes ($10B committed)</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Financial policy (aggressive buyback legacy)</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B02020"/>
                <w:sz w:val="20"/>
                <w:szCs w:val="20"/>
              </w:rPr>
              <w:t xml:space="preserve">-1</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CIO-1 FinPol</w:t>
            </w:r>
          </w:p>
        </w:tc>
        <w:tc>
          <w:tcPr>
            <w:tcW w:type="dxa" w:w="18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Yes (buyback pre-MAX)</w:t>
            </w:r>
          </w:p>
        </w:tc>
      </w:tr>
      <w:tr>
        <w:tc>
          <w:tcPr>
            <w:tcW w:type="dxa" w:w="3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Sovereign-related support qualifier</w:t>
            </w:r>
          </w:p>
        </w:tc>
        <w:tc>
          <w:tcPr>
            <w:tcW w:type="dxa" w:w="1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0</w:t>
            </w:r>
          </w:p>
        </w:tc>
        <w:tc>
          <w:tcPr>
            <w:tcW w:type="dxa" w:w="2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X-13 mega-cap floor</w:t>
            </w:r>
          </w:p>
        </w:tc>
        <w:tc>
          <w:tcPr>
            <w:tcW w:type="dxa" w:w="18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No notch (disclosed only)</w:t>
            </w:r>
          </w:p>
        </w:tc>
      </w:tr>
      <w:tr>
        <w:tc>
          <w:tcPr>
            <w:tcW w:type="dxa" w:w="38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left"/>
            </w:pPr>
            <w:r>
              <w:rPr>
                <w:rFonts w:ascii="Arial" w:cs="Arial" w:eastAsia="Arial" w:hAnsi="Arial"/>
                <w:b/>
                <w:bCs/>
                <w:color w:val="1E2A44"/>
                <w:sz w:val="20"/>
                <w:szCs w:val="20"/>
              </w:rPr>
              <w:t xml:space="preserve">Aggregate overlay impact (capped ±3)</w:t>
            </w:r>
          </w:p>
        </w:tc>
        <w:tc>
          <w:tcPr>
            <w:tcW w:type="dxa" w:w="15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B8935E"/>
                <w:sz w:val="20"/>
                <w:szCs w:val="20"/>
              </w:rPr>
              <w:t xml:space="preserve">+1</w:t>
            </w:r>
          </w:p>
        </w:tc>
        <w:tc>
          <w:tcPr>
            <w:tcW w:type="dxa" w:w="22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X-12b envelope</w:t>
            </w:r>
          </w:p>
        </w:tc>
        <w:tc>
          <w:tcPr>
            <w:tcW w:type="dxa" w:w="186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BBB- (final)</w:t>
            </w:r>
          </w:p>
        </w:tc>
      </w:tr>
    </w:tbl>
    <w:p>
      <w:r>
        <w:br w:type="page"/>
      </w:r>
    </w:p>
    <w:p>
      <w:pPr>
        <w:pStyle w:val="Heading1"/>
        <w:spacing w:after="160" w:before="320"/>
      </w:pPr>
      <w:r>
        <w:rPr>
          <w:rFonts w:ascii="Arial" w:cs="Arial" w:eastAsia="Arial" w:hAnsi="Arial"/>
          <w:b/>
          <w:bCs/>
          <w:color w:val="1E2A44"/>
          <w:sz w:val="30"/>
          <w:szCs w:val="30"/>
        </w:rPr>
        <w:t xml:space="preserve">§3  Business &amp; Industry Profile</w:t>
      </w:r>
    </w:p>
    <w:p>
      <w:pPr>
        <w:pStyle w:val="Heading3"/>
        <w:spacing w:after="80" w:before="180"/>
      </w:pPr>
      <w:r>
        <w:rPr>
          <w:rFonts w:ascii="Arial" w:cs="Arial" w:eastAsia="Arial" w:hAnsi="Arial"/>
          <w:b/>
          <w:bCs/>
          <w:color w:val="1E2A44"/>
          <w:sz w:val="22"/>
          <w:szCs w:val="22"/>
        </w:rPr>
        <w:t xml:space="preserve">Sector context</w:t>
      </w:r>
    </w:p>
    <w:p>
      <w:pPr>
        <w:spacing w:after="140" w:before="0"/>
        <w:jc w:val="left"/>
      </w:pPr>
      <w:r>
        <w:rPr>
          <w:rFonts w:ascii="Arial" w:cs="Arial" w:eastAsia="Arial" w:hAnsi="Arial"/>
          <w:b w:val="false"/>
          <w:bCs w:val="false"/>
          <w:i w:val="false"/>
          <w:iCs w:val="false"/>
          <w:color w:val="1E2A44"/>
          <w:sz w:val="22"/>
          <w:szCs w:val="22"/>
        </w:rPr>
        <w:t xml:space="preserve">Aerospace and defense. Commercial aviation large-body and narrow-body aircraft manufacturing; defense, space, and security contracting; global services (aftermarket, parts, training, data services).</w:t>
      </w:r>
    </w:p>
    <w:p>
      <w:pPr>
        <w:pStyle w:val="Heading3"/>
        <w:spacing w:after="80" w:before="180"/>
      </w:pPr>
      <w:r>
        <w:rPr>
          <w:rFonts w:ascii="Arial" w:cs="Arial" w:eastAsia="Arial" w:hAnsi="Arial"/>
          <w:b/>
          <w:bCs/>
          <w:color w:val="1E2A44"/>
          <w:sz w:val="22"/>
          <w:szCs w:val="22"/>
        </w:rPr>
        <w:t xml:space="preserve">Segment mix (FY2024, approximate)</w:t>
      </w:r>
    </w:p>
    <w:p>
      <w:pPr>
        <w:pStyle w:val="ListParagraph"/>
        <w:numPr>
          <w:ilvl w:val="0"/>
          <w:numId w:val="2"/>
        </w:numPr>
        <w:spacing w:after="80" w:before="0"/>
      </w:pPr>
      <w:r>
        <w:rPr>
          <w:rFonts w:ascii="Arial" w:cs="Arial" w:eastAsia="Arial" w:hAnsi="Arial"/>
          <w:color w:val="1E2A44"/>
          <w:sz w:val="22"/>
          <w:szCs w:val="22"/>
        </w:rPr>
        <w:t xml:space="preserve">Commercial Airplanes (BCA): ~37% of revenue — 737 MAX, 787, 777/777X, 767-freighter; supply-chain-exposed, cyclical.</w:t>
      </w:r>
    </w:p>
    <w:p>
      <w:pPr>
        <w:pStyle w:val="ListParagraph"/>
        <w:numPr>
          <w:ilvl w:val="0"/>
          <w:numId w:val="2"/>
        </w:numPr>
        <w:spacing w:after="80" w:before="0"/>
      </w:pPr>
      <w:r>
        <w:rPr>
          <w:rFonts w:ascii="Arial" w:cs="Arial" w:eastAsia="Arial" w:hAnsi="Arial"/>
          <w:color w:val="1E2A44"/>
          <w:sz w:val="22"/>
          <w:szCs w:val="22"/>
        </w:rPr>
        <w:t xml:space="preserve">Defense, Space &amp; Security (BDS): ~33% of revenue — fighters, tankers, rotorcraft, satellites, space launch; government-contract-exposed, lower-cyclicality.</w:t>
      </w:r>
    </w:p>
    <w:p>
      <w:pPr>
        <w:pStyle w:val="ListParagraph"/>
        <w:numPr>
          <w:ilvl w:val="0"/>
          <w:numId w:val="2"/>
        </w:numPr>
        <w:spacing w:after="80" w:before="0"/>
      </w:pPr>
      <w:r>
        <w:rPr>
          <w:rFonts w:ascii="Arial" w:cs="Arial" w:eastAsia="Arial" w:hAnsi="Arial"/>
          <w:color w:val="1E2A44"/>
          <w:sz w:val="22"/>
          <w:szCs w:val="22"/>
        </w:rPr>
        <w:t xml:space="preserve">Global Services (BGS): ~30% of revenue — MRO, parts, training, digital analytics; high-margin, long-tail, counter-cyclical.</w:t>
      </w:r>
    </w:p>
    <w:p>
      <w:pPr>
        <w:pStyle w:val="Heading3"/>
        <w:spacing w:after="80" w:before="180"/>
      </w:pPr>
      <w:r>
        <w:rPr>
          <w:rFonts w:ascii="Arial" w:cs="Arial" w:eastAsia="Arial" w:hAnsi="Arial"/>
          <w:b/>
          <w:bCs/>
          <w:color w:val="1E2A44"/>
          <w:sz w:val="22"/>
          <w:szCs w:val="22"/>
        </w:rPr>
        <w:t xml:space="preserve">Competitive position</w:t>
      </w:r>
    </w:p>
    <w:p>
      <w:pPr>
        <w:spacing w:after="200" w:before="0"/>
        <w:jc w:val="left"/>
      </w:pPr>
      <w:r>
        <w:rPr>
          <w:rFonts w:ascii="Arial" w:cs="Arial" w:eastAsia="Arial" w:hAnsi="Arial"/>
          <w:b w:val="false"/>
          <w:bCs w:val="false"/>
          <w:i w:val="false"/>
          <w:iCs w:val="false"/>
          <w:color w:val="1E2A44"/>
          <w:sz w:val="22"/>
          <w:szCs w:val="22"/>
        </w:rPr>
        <w:t xml:space="preserve">Effective duopoly in commercial large-body with Airbus; two-player market for narrow-body (737 MAX vs A320neo family); dominant U.S. defense prime position alongside Lockheed Martin, Northrop Grumman, and RTX. Barriers to entry are extreme: 30+ year certification cycles, mature supply-chain ecosystem, sovereign export controls, and installed-base lock-in for MRO.</w:t>
      </w:r>
    </w:p>
    <w:p>
      <w:pPr>
        <w:pStyle w:val="Heading3"/>
        <w:spacing w:after="80" w:before="180"/>
      </w:pPr>
      <w:r>
        <w:rPr>
          <w:rFonts w:ascii="Arial" w:cs="Arial" w:eastAsia="Arial" w:hAnsi="Arial"/>
          <w:b/>
          <w:bCs/>
          <w:color w:val="1E2A44"/>
          <w:sz w:val="22"/>
          <w:szCs w:val="22"/>
        </w:rPr>
        <w:t xml:space="preserve">Revenue durability</w:t>
      </w:r>
    </w:p>
    <w:p>
      <w:pPr>
        <w:spacing w:after="200" w:before="0"/>
        <w:jc w:val="left"/>
      </w:pPr>
      <w:r>
        <w:rPr>
          <w:rFonts w:ascii="Arial" w:cs="Arial" w:eastAsia="Arial" w:hAnsi="Arial"/>
          <w:b w:val="false"/>
          <w:bCs w:val="false"/>
          <w:i w:val="false"/>
          <w:iCs w:val="false"/>
          <w:color w:val="1E2A44"/>
          <w:sz w:val="22"/>
          <w:szCs w:val="22"/>
        </w:rPr>
        <w:t xml:space="preserve">Multi-year order backlog of approximately $500B+ (BCA + BDS combined) provides a cushion that partially insulates top-line from short-term demand shocks. Backlog visibility is 5–7 years on narrow-body and 8–12 years on wide-body, although cancellation rights and delivery deferrals reduce the effective firmness of the backlog under stress.</w:t>
      </w:r>
    </w:p>
    <w:p>
      <w:pPr>
        <w:pStyle w:val="Heading3"/>
        <w:spacing w:after="80" w:before="180"/>
      </w:pPr>
      <w:r>
        <w:rPr>
          <w:rFonts w:ascii="Arial" w:cs="Arial" w:eastAsia="Arial" w:hAnsi="Arial"/>
          <w:b/>
          <w:bCs/>
          <w:color w:val="1E2A44"/>
          <w:sz w:val="22"/>
          <w:szCs w:val="22"/>
        </w:rPr>
        <w:t xml:space="preserve">Cyclicality classification</w:t>
      </w:r>
    </w:p>
    <w:p>
      <w:pPr>
        <w:spacing w:after="200" w:before="0"/>
        <w:jc w:val="left"/>
      </w:pPr>
      <w:r>
        <w:rPr>
          <w:rFonts w:ascii="Arial" w:cs="Arial" w:eastAsia="Arial" w:hAnsi="Arial"/>
          <w:b w:val="false"/>
          <w:bCs w:val="false"/>
          <w:i w:val="false"/>
          <w:iCs w:val="false"/>
          <w:color w:val="1E2A44"/>
          <w:sz w:val="22"/>
          <w:szCs w:val="22"/>
        </w:rPr>
        <w:t xml:space="preserve">Sentinel classifies Boeing under the HIGH_CYCLICAL aerospace-and-defense profile. This triggers the HeliosCyclicalNormalizer to apply a 3-year median smoothing on EBITDA when the fiscal year sits at a peak or trough of the cycle. For FY2024, the cycle is post-trough (recovering from 737 MAX grounding + pandemic demand collapse), so the normalizer uses LTM EBITDA directly without smoothing.</w:t>
      </w:r>
    </w:p>
    <w:p>
      <w:r>
        <w:br w:type="page"/>
      </w:r>
    </w:p>
    <w:p>
      <w:pPr>
        <w:pStyle w:val="Heading1"/>
        <w:spacing w:after="160" w:before="320"/>
      </w:pPr>
      <w:r>
        <w:rPr>
          <w:rFonts w:ascii="Arial" w:cs="Arial" w:eastAsia="Arial" w:hAnsi="Arial"/>
          <w:b/>
          <w:bCs/>
          <w:color w:val="1E2A44"/>
          <w:sz w:val="30"/>
          <w:szCs w:val="30"/>
        </w:rPr>
        <w:t xml:space="preserve">§4  Financial Risk Profile</w:t>
      </w:r>
    </w:p>
    <w:p>
      <w:pPr>
        <w:spacing w:after="180" w:before="0"/>
        <w:jc w:val="left"/>
      </w:pPr>
      <w:r>
        <w:rPr>
          <w:rFonts w:ascii="Arial" w:cs="Arial" w:eastAsia="Arial" w:hAnsi="Arial"/>
          <w:b w:val="false"/>
          <w:bCs w:val="false"/>
          <w:i w:val="false"/>
          <w:iCs w:val="false"/>
          <w:color w:val="1E2A44"/>
          <w:sz w:val="22"/>
          <w:szCs w:val="22"/>
        </w:rPr>
        <w:t xml:space="preserve">Core credit ratios below. All figures are drawn from public 10-K and 10-Q filings for illustrative purposes. Reported-basis and adjusted-basis columns are shown side-by-side where off-balance-sheet disclosures (OBS) would impact the measurement.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80"/>
        <w:gridCol w:w="2080"/>
        <w:gridCol w:w="2000"/>
      </w:tblGrid>
      <w:tr>
        <w:tc>
          <w:tcPr>
            <w:tcW w:type="dxa" w:w="32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Metric</w:t>
            </w:r>
          </w:p>
        </w:tc>
        <w:tc>
          <w:tcPr>
            <w:tcW w:type="dxa" w:w="20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FY2024 Reported</w:t>
            </w:r>
          </w:p>
        </w:tc>
        <w:tc>
          <w:tcPr>
            <w:tcW w:type="dxa" w:w="20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FY2024 Adjusted</w:t>
            </w:r>
          </w:p>
        </w:tc>
        <w:tc>
          <w:tcPr>
            <w:tcW w:type="dxa" w:w="20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IG Median</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Total Debt / EBITDA</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~9.5x</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~7.2x (3Y-median)</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2.5–3.5x</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Net Debt / EBITDA</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~6.8x</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~5.1x (3Y-median)</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1.8–2.8x</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EBITDA / Interest Expense</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~2.4x</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~3.0x (3Y-median)</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&gt;6.0x</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Free Cash Flow (− capex, − wk-cap)</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negative</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breakeven (3Y-median)</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positive &gt;2% of revenue</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Liquidity Runway</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~14 mo</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~24 mo (inc $10B RCF)</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&gt;18 mo</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Operating-lease-adjusted Debt</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+~$3B vs reported</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captured (B4-1)</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w:t>
            </w:r>
          </w:p>
        </w:tc>
      </w:tr>
      <w:tr>
        <w:tc>
          <w:tcPr>
            <w:tcW w:type="dxa" w:w="32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Pension ABO funded status</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~92%</w:t>
            </w:r>
          </w:p>
        </w:tc>
        <w:tc>
          <w:tcPr>
            <w:tcW w:type="dxa" w:w="20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unfunded ~$5B (disclosed)</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&gt;95%</w:t>
            </w:r>
          </w:p>
        </w:tc>
      </w:tr>
    </w:tbl>
    <w:p>
      <w:pPr>
        <w:spacing w:after="120" w:before="18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Narrative: what the ratios are telling us</w:t>
      </w:r>
    </w:p>
    <w:p>
      <w:pPr>
        <w:spacing w:after="160" w:before="0"/>
        <w:jc w:val="left"/>
      </w:pPr>
      <w:r>
        <w:rPr>
          <w:rFonts w:ascii="Arial" w:cs="Arial" w:eastAsia="Arial" w:hAnsi="Arial"/>
          <w:b w:val="false"/>
          <w:bCs w:val="false"/>
          <w:i w:val="false"/>
          <w:iCs w:val="false"/>
          <w:color w:val="1E2A44"/>
          <w:sz w:val="22"/>
          <w:szCs w:val="22"/>
        </w:rPr>
        <w:t xml:space="preserve">On raw numbers, the profile is sub-investment-grade. Leverage at 9.5x reported / 7.2x 3-year-median is BB territory at best; interest coverage at 2.4x is below the IG 6.0x threshold; free cash flow is negative in the reported period and only breakeven on a 3-year median after deducting capex and working capital movement. The numbers collectively describe a stressed issuer, not a mid-tier IG issuer.</w:t>
      </w:r>
    </w:p>
    <w:p>
      <w:pPr>
        <w:spacing w:after="200" w:before="0"/>
        <w:jc w:val="left"/>
      </w:pPr>
      <w:r>
        <w:rPr>
          <w:rFonts w:ascii="Arial" w:cs="Arial" w:eastAsia="Arial" w:hAnsi="Arial"/>
          <w:b w:val="false"/>
          <w:bCs w:val="false"/>
          <w:i w:val="false"/>
          <w:iCs w:val="false"/>
          <w:color w:val="1E2A44"/>
          <w:sz w:val="22"/>
          <w:szCs w:val="22"/>
        </w:rPr>
        <w:t xml:space="preserve">What moves the rating to BBB- is the overlay construction in Section 5. Specifically: the liquidity runway extends to 24 months when the undrawn $10B revolving credit facility is counted (S&amp;P Liquidity modifier); and the business-profile uplift from the aerospace duopoly position adds a notch. These are documented, agency-recognized offsets — not favorable discretion.</w:t>
      </w:r>
    </w:p>
    <w:p>
      <w:r>
        <w:br w:type="page"/>
      </w:r>
    </w:p>
    <w:p>
      <w:pPr>
        <w:pStyle w:val="Heading1"/>
        <w:spacing w:after="160" w:before="320"/>
      </w:pPr>
      <w:r>
        <w:rPr>
          <w:rFonts w:ascii="Arial" w:cs="Arial" w:eastAsia="Arial" w:hAnsi="Arial"/>
          <w:b/>
          <w:bCs/>
          <w:color w:val="1E2A44"/>
          <w:sz w:val="30"/>
          <w:szCs w:val="30"/>
        </w:rPr>
        <w:t xml:space="preserve">§5  Overlay Analysis</w:t>
      </w:r>
    </w:p>
    <w:p>
      <w:pPr>
        <w:spacing w:after="200" w:before="0"/>
        <w:jc w:val="left"/>
      </w:pPr>
      <w:r>
        <w:rPr>
          <w:rFonts w:ascii="Arial" w:cs="Arial" w:eastAsia="Arial" w:hAnsi="Arial"/>
          <w:b w:val="false"/>
          <w:bCs w:val="false"/>
          <w:i w:val="false"/>
          <w:iCs w:val="false"/>
          <w:color w:val="1E2A44"/>
          <w:sz w:val="22"/>
          <w:szCs w:val="22"/>
        </w:rPr>
        <w:t xml:space="preserve">Each overlay below is applied in a fixed order documented in X-12b (overlay envelope). Aggregate magnitude is capped at ±3 notches to prevent overlay drift. Each overlay carries provenance: the rule that fired, the input data, and the citation.</w:t>
      </w:r>
    </w:p>
    <w:p>
      <w:pPr>
        <w:pStyle w:val="Heading3"/>
        <w:spacing w:after="80" w:before="180"/>
      </w:pPr>
      <w:r>
        <w:rPr>
          <w:rFonts w:ascii="Arial" w:cs="Arial" w:eastAsia="Arial" w:hAnsi="Arial"/>
          <w:b/>
          <w:bCs/>
          <w:color w:val="1E2A44"/>
          <w:sz w:val="22"/>
          <w:szCs w:val="22"/>
        </w:rPr>
        <w:t xml:space="preserve">Overlay 1 — Cyclical-peak EBITDA normalization (CYCLICAL_PEAK / U4a)</w:t>
      </w:r>
    </w:p>
    <w:p>
      <w:pPr>
        <w:spacing w:after="120" w:before="0"/>
        <w:jc w:val="left"/>
      </w:pPr>
      <w:r>
        <w:rPr>
          <w:rFonts w:ascii="Arial" w:cs="Arial" w:eastAsia="Arial" w:hAnsi="Arial"/>
          <w:b w:val="false"/>
          <w:bCs w:val="false"/>
          <w:i w:val="false"/>
          <w:iCs w:val="false"/>
          <w:color w:val="1E2A44"/>
          <w:sz w:val="22"/>
          <w:szCs w:val="22"/>
        </w:rPr>
        <w:t xml:space="preserve">Rule: when the fiscal year sits at a peak of the sector cycle (identified by EBITDA &gt; 1.4x 3-year trailing median), Sentinel smooths EBITDA to the 3-year median before computing leverage ratios. This prevents fair-weather ratings at cycle peaks.</w:t>
      </w:r>
    </w:p>
    <w:p>
      <w:pPr>
        <w:spacing w:after="200" w:before="0"/>
        <w:jc w:val="left"/>
      </w:pPr>
      <w:r>
        <w:rPr>
          <w:rFonts w:ascii="Arial" w:cs="Arial" w:eastAsia="Arial" w:hAnsi="Arial"/>
          <w:b w:val="false"/>
          <w:bCs w:val="false"/>
          <w:i w:val="false"/>
          <w:iCs w:val="false"/>
          <w:color w:val="1E2A44"/>
          <w:sz w:val="22"/>
          <w:szCs w:val="22"/>
        </w:rPr>
        <w:t xml:space="preserve">Result: NOT FIRED. FY2024 EBITDA sits at ~0.7x the pre-MAX-grounding 2017–2019 peak; Boeing is in a post-trough recovery phase, so the normalizer passes through LTM EBITDA without smoothing. If Boeing were at the 2018 peak, this overlay would have tightened the rating by ~0.5 notches.</w:t>
      </w:r>
    </w:p>
    <w:p>
      <w:pPr>
        <w:pStyle w:val="Heading3"/>
        <w:spacing w:after="80" w:before="180"/>
      </w:pPr>
      <w:r>
        <w:rPr>
          <w:rFonts w:ascii="Arial" w:cs="Arial" w:eastAsia="Arial" w:hAnsi="Arial"/>
          <w:b/>
          <w:bCs/>
          <w:color w:val="1E2A44"/>
          <w:sz w:val="22"/>
          <w:szCs w:val="22"/>
        </w:rPr>
        <w:t xml:space="preserve">Overlay 2 — Business-profile uplift (BA-BIZPROFILE)</w:t>
      </w:r>
    </w:p>
    <w:p>
      <w:pPr>
        <w:spacing w:after="120" w:before="0"/>
        <w:jc w:val="left"/>
      </w:pPr>
      <w:r>
        <w:rPr>
          <w:rFonts w:ascii="Arial" w:cs="Arial" w:eastAsia="Arial" w:hAnsi="Arial"/>
          <w:b w:val="false"/>
          <w:bCs w:val="false"/>
          <w:i w:val="false"/>
          <w:iCs w:val="false"/>
          <w:color w:val="1E2A44"/>
          <w:sz w:val="22"/>
          <w:szCs w:val="22"/>
        </w:rPr>
        <w:t xml:space="preserve">Rule: when moat classification is ≥2 (wide moat) AND staple classification is ≥1 (essential revenue durability), uplift up to +1 notch. Capped at +1. Boeing scores: moat=2 (aerospace duopoly with 30+ year switching costs); staple=1 (defense contracts on multi-decade frameworks).</w:t>
      </w:r>
    </w:p>
    <w:p>
      <w:pPr>
        <w:spacing w:after="200" w:before="0"/>
        <w:jc w:val="left"/>
      </w:pPr>
      <w:r>
        <w:rPr>
          <w:rFonts w:ascii="Arial" w:cs="Arial" w:eastAsia="Arial" w:hAnsi="Arial"/>
          <w:b w:val="false"/>
          <w:bCs w:val="false"/>
          <w:i w:val="false"/>
          <w:iCs w:val="false"/>
          <w:color w:val="1E2A44"/>
          <w:sz w:val="22"/>
          <w:szCs w:val="22"/>
        </w:rPr>
        <w:t xml:space="preserve">Result: FIRED. +1 notch. This is the single largest positive overlay on the Boeing rating. It is the reason BBB- is attainable rather than BB+ as the financial ratios alone would produce.</w:t>
      </w:r>
    </w:p>
    <w:p>
      <w:pPr>
        <w:pStyle w:val="Heading3"/>
        <w:spacing w:after="80" w:before="180"/>
      </w:pPr>
      <w:r>
        <w:rPr>
          <w:rFonts w:ascii="Arial" w:cs="Arial" w:eastAsia="Arial" w:hAnsi="Arial"/>
          <w:b/>
          <w:bCs/>
          <w:color w:val="1E2A44"/>
          <w:sz w:val="22"/>
          <w:szCs w:val="22"/>
        </w:rPr>
        <w:t xml:space="preserve">Overlay 3 — Liquidity support modifier (S&amp;P Liquidity / U3)</w:t>
      </w:r>
    </w:p>
    <w:p>
      <w:pPr>
        <w:spacing w:after="120" w:before="0"/>
        <w:jc w:val="left"/>
      </w:pPr>
      <w:r>
        <w:rPr>
          <w:rFonts w:ascii="Arial" w:cs="Arial" w:eastAsia="Arial" w:hAnsi="Arial"/>
          <w:b w:val="false"/>
          <w:bCs w:val="false"/>
          <w:i w:val="false"/>
          <w:iCs w:val="false"/>
          <w:color w:val="1E2A44"/>
          <w:sz w:val="22"/>
          <w:szCs w:val="22"/>
        </w:rPr>
        <w:t xml:space="preserve">Rule: committed undrawn revolving credit facilities with at least 12 months of remaining tenor add +1 notch when they extend liquidity runway past the 18-month IG threshold.</w:t>
      </w:r>
    </w:p>
    <w:p>
      <w:pPr>
        <w:spacing w:after="200" w:before="0"/>
        <w:jc w:val="left"/>
      </w:pPr>
      <w:r>
        <w:rPr>
          <w:rFonts w:ascii="Arial" w:cs="Arial" w:eastAsia="Arial" w:hAnsi="Arial"/>
          <w:b w:val="false"/>
          <w:bCs w:val="false"/>
          <w:i w:val="false"/>
          <w:iCs w:val="false"/>
          <w:color w:val="1E2A44"/>
          <w:sz w:val="22"/>
          <w:szCs w:val="22"/>
        </w:rPr>
        <w:t xml:space="preserve">Result: FIRED. +1 notch. Boeing’s $10B undrawn 5-year revolving credit facility (with 3+ years of remaining tenor) extends liquidity runway from ~14 months to ~24 months. This overlay is the reason Boeing remains IG despite sub-IG-level interest coverage.</w:t>
      </w:r>
    </w:p>
    <w:p>
      <w:pPr>
        <w:pStyle w:val="Heading3"/>
        <w:spacing w:after="80" w:before="180"/>
      </w:pPr>
      <w:r>
        <w:rPr>
          <w:rFonts w:ascii="Arial" w:cs="Arial" w:eastAsia="Arial" w:hAnsi="Arial"/>
          <w:b/>
          <w:bCs/>
          <w:color w:val="1E2A44"/>
          <w:sz w:val="22"/>
          <w:szCs w:val="22"/>
        </w:rPr>
        <w:t xml:space="preserve">Overlay 4 — Financial policy (CIO-1 FinPol)</w:t>
      </w:r>
    </w:p>
    <w:p>
      <w:pPr>
        <w:spacing w:after="120" w:before="0"/>
        <w:jc w:val="left"/>
      </w:pPr>
      <w:r>
        <w:rPr>
          <w:rFonts w:ascii="Arial" w:cs="Arial" w:eastAsia="Arial" w:hAnsi="Arial"/>
          <w:b w:val="false"/>
          <w:bCs w:val="false"/>
          <w:i w:val="false"/>
          <w:iCs w:val="false"/>
          <w:color w:val="1E2A44"/>
          <w:sz w:val="22"/>
          <w:szCs w:val="22"/>
        </w:rPr>
        <w:t xml:space="preserve">Rule: aggressive capital-return policy in the 5 years prior to a major operational setback (buybacks &gt; free cash flow, dividend &gt; FCF) downgrades by 1 notch. This is a punishment for balance-sheet decisions that reduce resilience.</w:t>
      </w:r>
    </w:p>
    <w:p>
      <w:pPr>
        <w:spacing w:after="200" w:before="0"/>
        <w:jc w:val="left"/>
      </w:pPr>
      <w:r>
        <w:rPr>
          <w:rFonts w:ascii="Arial" w:cs="Arial" w:eastAsia="Arial" w:hAnsi="Arial"/>
          <w:b w:val="false"/>
          <w:bCs w:val="false"/>
          <w:i w:val="false"/>
          <w:iCs w:val="false"/>
          <w:color w:val="1E2A44"/>
          <w:sz w:val="22"/>
          <w:szCs w:val="22"/>
        </w:rPr>
        <w:t xml:space="preserve">Result: FIRED. −1 notch. Boeing ran ~$43B of buybacks during FY2013–FY2019 while operating-cash-flow support for the 737 MAX certification was needed. The post-grounding balance sheet carries the legacy of those choices; Sentinel applies this as a judgment penalty even though the behavior has since changed.</w:t>
      </w:r>
    </w:p>
    <w:p>
      <w:pPr>
        <w:pStyle w:val="Heading3"/>
        <w:spacing w:after="80" w:before="180"/>
      </w:pPr>
      <w:r>
        <w:rPr>
          <w:rFonts w:ascii="Arial" w:cs="Arial" w:eastAsia="Arial" w:hAnsi="Arial"/>
          <w:b/>
          <w:bCs/>
          <w:color w:val="1E2A44"/>
          <w:sz w:val="22"/>
          <w:szCs w:val="22"/>
        </w:rPr>
        <w:t xml:space="preserve">Overlay 5 — Sovereign-related support qualifier</w:t>
      </w:r>
    </w:p>
    <w:p>
      <w:pPr>
        <w:spacing w:after="120" w:before="0"/>
        <w:jc w:val="left"/>
      </w:pPr>
      <w:r>
        <w:rPr>
          <w:rFonts w:ascii="Arial" w:cs="Arial" w:eastAsia="Arial" w:hAnsi="Arial"/>
          <w:b w:val="false"/>
          <w:bCs w:val="false"/>
          <w:i w:val="false"/>
          <w:iCs w:val="false"/>
          <w:color w:val="1E2A44"/>
          <w:sz w:val="22"/>
          <w:szCs w:val="22"/>
        </w:rPr>
        <w:t xml:space="preserve">Rule: U.S. defense prime contractors with &gt;25% revenue from federal-government contracts qualify for a sovereign-adjacent support qualifier. Disclosed only — does not directly change the notch, but is used in Basel SA risk-weight floor calculation.</w:t>
      </w:r>
    </w:p>
    <w:p>
      <w:pPr>
        <w:spacing w:after="200" w:before="0"/>
        <w:jc w:val="left"/>
      </w:pPr>
      <w:r>
        <w:rPr>
          <w:rFonts w:ascii="Arial" w:cs="Arial" w:eastAsia="Arial" w:hAnsi="Arial"/>
          <w:b w:val="false"/>
          <w:bCs w:val="false"/>
          <w:i w:val="false"/>
          <w:iCs w:val="false"/>
          <w:color w:val="1E2A44"/>
          <w:sz w:val="22"/>
          <w:szCs w:val="22"/>
        </w:rPr>
        <w:t xml:space="preserve">Result: DISCLOSED. 0 notch impact in IC rating, but tagged for Basel SA calculation and for CCAR-style stress testing (Section 7). This qualifier is a structural feature of Boeing that distinguishes it from a pure commercial-aerospace peer.</w:t>
      </w:r>
    </w:p>
    <w:p>
      <w:pPr>
        <w:pStyle w:val="Heading3"/>
        <w:spacing w:after="80" w:before="180"/>
      </w:pPr>
      <w:r>
        <w:rPr>
          <w:rFonts w:ascii="Arial" w:cs="Arial" w:eastAsia="Arial" w:hAnsi="Arial"/>
          <w:b/>
          <w:bCs/>
          <w:color w:val="1E2A44"/>
          <w:sz w:val="22"/>
          <w:szCs w:val="22"/>
        </w:rPr>
        <w:t xml:space="preserve">Aggregate overlay summary</w:t>
      </w:r>
    </w:p>
    <w:p>
      <w:pPr>
        <w:spacing w:after="200" w:before="0"/>
        <w:jc w:val="left"/>
      </w:pPr>
      <w:r>
        <w:rPr>
          <w:rFonts w:ascii="Arial" w:cs="Arial" w:eastAsia="Arial" w:hAnsi="Arial"/>
          <w:b w:val="false"/>
          <w:bCs w:val="false"/>
          <w:i w:val="false"/>
          <w:iCs w:val="false"/>
          <w:color w:val="1E2A44"/>
          <w:sz w:val="22"/>
          <w:szCs w:val="22"/>
        </w:rPr>
        <w:t xml:space="preserve">Net overlay impact: +1 notch (sum of +1 business profile, +1 liquidity, −1 financial policy, 0 others). This sits well inside the X-12b ±3 notch cap. The net +1 is modest but structural; unwinding any of the three non-zero overlays individually would not move the rating below BB+.</w:t>
      </w:r>
    </w:p>
    <w:p>
      <w:r>
        <w:br w:type="page"/>
      </w:r>
    </w:p>
    <w:p>
      <w:pPr>
        <w:pStyle w:val="Heading1"/>
        <w:spacing w:after="160" w:before="320"/>
      </w:pPr>
      <w:r>
        <w:rPr>
          <w:rFonts w:ascii="Arial" w:cs="Arial" w:eastAsia="Arial" w:hAnsi="Arial"/>
          <w:b/>
          <w:bCs/>
          <w:color w:val="1E2A44"/>
          <w:sz w:val="30"/>
          <w:szCs w:val="30"/>
        </w:rPr>
        <w:t xml:space="preserve">§6  Challenger Model Comparison</w:t>
      </w:r>
    </w:p>
    <w:p>
      <w:pPr>
        <w:spacing w:after="200" w:before="0"/>
        <w:jc w:val="left"/>
      </w:pPr>
      <w:r>
        <w:rPr>
          <w:rFonts w:ascii="Arial" w:cs="Arial" w:eastAsia="Arial" w:hAnsi="Arial"/>
          <w:b w:val="false"/>
          <w:bCs w:val="false"/>
          <w:i w:val="false"/>
          <w:iCs w:val="false"/>
          <w:color w:val="1E2A44"/>
          <w:sz w:val="22"/>
          <w:szCs w:val="22"/>
        </w:rPr>
        <w:t xml:space="preserve">Sentinel runs three academic challenger models alongside the main ratings engine: Altman Z-Score (1968), Ohlson O-Score (1980), and Zmijewski (1984). Under SR 11-7, material divergence between the main model and challengers is flagged for committee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760"/>
        <w:gridCol w:w="2500"/>
        <w:gridCol w:w="2500"/>
      </w:tblGrid>
      <w:tr>
        <w:tc>
          <w:tcPr>
            <w:tcW w:type="dxa" w:w="26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Challenger</w:t>
            </w:r>
          </w:p>
        </w:tc>
        <w:tc>
          <w:tcPr>
            <w:tcW w:type="dxa" w:w="176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Raw Score</w:t>
            </w:r>
          </w:p>
        </w:tc>
        <w:tc>
          <w:tcPr>
            <w:tcW w:type="dxa" w:w="25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Zone</w:t>
            </w:r>
          </w:p>
        </w:tc>
        <w:tc>
          <w:tcPr>
            <w:tcW w:type="dxa" w:w="25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Implied Rating</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Altman Z-Score</w:t>
            </w:r>
          </w:p>
        </w:tc>
        <w:tc>
          <w:tcPr>
            <w:tcW w:type="dxa" w:w="17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~1.9</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Grey zone (1.81–2.99)</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B / B+</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Ohlson O-Score</w:t>
            </w:r>
          </w:p>
        </w:tc>
        <w:tc>
          <w:tcPr>
            <w:tcW w:type="dxa" w:w="17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~−1.2</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Moderate distress</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BB- / B+</w:t>
            </w:r>
          </w:p>
        </w:tc>
      </w:tr>
      <w:tr>
        <w:tc>
          <w:tcPr>
            <w:tcW w:type="dxa" w:w="26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Zmijewski</w:t>
            </w:r>
          </w:p>
        </w:tc>
        <w:tc>
          <w:tcPr>
            <w:tcW w:type="dxa" w:w="17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~−0.3</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Borderline non-distress</w:t>
            </w:r>
          </w:p>
        </w:tc>
        <w:tc>
          <w:tcPr>
            <w:tcW w:type="dxa" w:w="25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BB+ / BB</w:t>
            </w:r>
          </w:p>
        </w:tc>
      </w:tr>
      <w:tr>
        <w:tc>
          <w:tcPr>
            <w:tcW w:type="dxa" w:w="26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left"/>
            </w:pPr>
            <w:r>
              <w:rPr>
                <w:rFonts w:ascii="Arial" w:cs="Arial" w:eastAsia="Arial" w:hAnsi="Arial"/>
                <w:b/>
                <w:bCs/>
                <w:color w:val="1E2A44"/>
                <w:sz w:val="20"/>
                <w:szCs w:val="20"/>
              </w:rPr>
              <w:t xml:space="preserve">Merton Distance-to-Default</w:t>
            </w:r>
          </w:p>
        </w:tc>
        <w:tc>
          <w:tcPr>
            <w:tcW w:type="dxa" w:w="176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~2.1σ</w:t>
            </w:r>
          </w:p>
        </w:tc>
        <w:tc>
          <w:tcPr>
            <w:tcW w:type="dxa" w:w="25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Implied 1Y PD ~5%</w:t>
            </w:r>
          </w:p>
        </w:tc>
        <w:tc>
          <w:tcPr>
            <w:tcW w:type="dxa" w:w="25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1E2A44"/>
                <w:sz w:val="20"/>
                <w:szCs w:val="20"/>
              </w:rPr>
              <w:t xml:space="preserve">BB / BB+</w:t>
            </w:r>
          </w:p>
        </w:tc>
      </w:tr>
    </w:tbl>
    <w:p>
      <w:pPr>
        <w:spacing w:after="120" w:before="18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SR 11-7 divergence assessment</w:t>
      </w:r>
    </w:p>
    <w:p>
      <w:pPr>
        <w:spacing w:after="160" w:before="0"/>
        <w:jc w:val="left"/>
      </w:pPr>
      <w:r>
        <w:rPr>
          <w:rFonts w:ascii="Arial" w:cs="Arial" w:eastAsia="Arial" w:hAnsi="Arial"/>
          <w:b w:val="false"/>
          <w:bCs w:val="false"/>
          <w:i w:val="false"/>
          <w:iCs w:val="false"/>
          <w:color w:val="1E2A44"/>
          <w:sz w:val="22"/>
          <w:szCs w:val="22"/>
        </w:rPr>
        <w:t xml:space="preserve">Sentinel Adjusted is BBB-. Altman implies B/B+, a 3–4 notch gap — material under SR 11-7. The divergence reflects a known limitation of the Altman model: it penalizes asset-heavy capital-intensive issuers with long-dated cash flows and does not credit the committed-liquidity or business-profile overlays that Sentinel applies. Ohlson and Zmijewski are in closer range to Sentinel.</w:t>
      </w:r>
    </w:p>
    <w:p>
      <w:pPr>
        <w:spacing w:after="200" w:before="0"/>
        <w:jc w:val="left"/>
      </w:pPr>
      <w:r>
        <w:rPr>
          <w:rFonts w:ascii="Arial" w:cs="Arial" w:eastAsia="Arial" w:hAnsi="Arial"/>
          <w:b w:val="false"/>
          <w:bCs w:val="false"/>
          <w:i w:val="false"/>
          <w:iCs w:val="false"/>
          <w:color w:val="1E2A44"/>
          <w:sz w:val="22"/>
          <w:szCs w:val="22"/>
        </w:rPr>
        <w:t xml:space="preserve">Committee disposition: the Altman divergence is acknowledged and disclosed. The challenger models are not themselves used in the final rating decision but serve as a cross-check against unexplained overlay-driven rating lift. Sentinel’s overlays here are all documented and agency-recognized; the divergence is primarily attributable to Altman’s non-treatment of structural moat and committed liquidity.</w:t>
      </w:r>
    </w:p>
    <w:p>
      <w:r>
        <w:br w:type="page"/>
      </w:r>
    </w:p>
    <w:p>
      <w:pPr>
        <w:pStyle w:val="Heading1"/>
        <w:spacing w:after="160" w:before="320"/>
      </w:pPr>
      <w:r>
        <w:rPr>
          <w:rFonts w:ascii="Arial" w:cs="Arial" w:eastAsia="Arial" w:hAnsi="Arial"/>
          <w:b/>
          <w:bCs/>
          <w:color w:val="1E2A44"/>
          <w:sz w:val="30"/>
          <w:szCs w:val="30"/>
        </w:rPr>
        <w:t xml:space="preserve">§7  Stress Testing</w:t>
      </w:r>
    </w:p>
    <w:p>
      <w:pPr>
        <w:spacing w:after="200" w:before="0"/>
        <w:jc w:val="left"/>
      </w:pPr>
      <w:r>
        <w:rPr>
          <w:rFonts w:ascii="Arial" w:cs="Arial" w:eastAsia="Arial" w:hAnsi="Arial"/>
          <w:b w:val="false"/>
          <w:bCs w:val="false"/>
          <w:i w:val="false"/>
          <w:iCs w:val="false"/>
          <w:color w:val="1E2A44"/>
          <w:sz w:val="22"/>
          <w:szCs w:val="22"/>
        </w:rPr>
        <w:t xml:space="preserve">Sentinel implements the 5-cell stress ladder (X-5) consistent with Federal Reserve CCAR / DFAST methodology. Each cell modifies a single input axis while holding all other inputs constant; the fifth combined cell stacks the three adverse scenarios simultaneously.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560"/>
        <w:gridCol w:w="2000"/>
        <w:gridCol w:w="2000"/>
      </w:tblGrid>
      <w:tr>
        <w:tc>
          <w:tcPr>
            <w:tcW w:type="dxa" w:w="28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Scenario</w:t>
            </w:r>
          </w:p>
        </w:tc>
        <w:tc>
          <w:tcPr>
            <w:tcW w:type="dxa" w:w="256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Shock</w:t>
            </w:r>
          </w:p>
        </w:tc>
        <w:tc>
          <w:tcPr>
            <w:tcW w:type="dxa" w:w="20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Adj. Rating</w:t>
            </w:r>
          </w:p>
        </w:tc>
        <w:tc>
          <w:tcPr>
            <w:tcW w:type="dxa" w:w="20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Notch Δ</w:t>
            </w:r>
          </w:p>
        </w:tc>
      </w:tr>
      <w:tr>
        <w:tc>
          <w:tcPr>
            <w:tcW w:type="dxa" w:w="2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bCs/>
                <w:color w:val="1E2A44"/>
                <w:sz w:val="20"/>
                <w:szCs w:val="20"/>
              </w:rPr>
              <w:t xml:space="preserve">Base (current)</w:t>
            </w:r>
          </w:p>
        </w:tc>
        <w:tc>
          <w:tcPr>
            <w:tcW w:type="dxa" w:w="25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no shock</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bCs/>
                <w:color w:val="1E2A44"/>
                <w:sz w:val="20"/>
                <w:szCs w:val="20"/>
              </w:rPr>
              <w:t xml:space="preserve">BBB-</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0</w:t>
            </w:r>
          </w:p>
        </w:tc>
      </w:tr>
      <w:tr>
        <w:tc>
          <w:tcPr>
            <w:tcW w:type="dxa" w:w="2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Revenue -10%</w:t>
            </w:r>
          </w:p>
        </w:tc>
        <w:tc>
          <w:tcPr>
            <w:tcW w:type="dxa" w:w="25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ΔRev = −10%</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BB+</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−1</w:t>
            </w:r>
          </w:p>
        </w:tc>
      </w:tr>
      <w:tr>
        <w:tc>
          <w:tcPr>
            <w:tcW w:type="dxa" w:w="2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Margin -20%</w:t>
            </w:r>
          </w:p>
        </w:tc>
        <w:tc>
          <w:tcPr>
            <w:tcW w:type="dxa" w:w="25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EBITDA margin × 0.80</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BB</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−2</w:t>
            </w:r>
          </w:p>
        </w:tc>
      </w:tr>
      <w:tr>
        <w:tc>
          <w:tcPr>
            <w:tcW w:type="dxa" w:w="28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Rates +200bp</w:t>
            </w:r>
          </w:p>
        </w:tc>
        <w:tc>
          <w:tcPr>
            <w:tcW w:type="dxa" w:w="256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Interest expense × 1.27</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BB+</w:t>
            </w:r>
          </w:p>
        </w:tc>
        <w:tc>
          <w:tcPr>
            <w:tcW w:type="dxa" w:w="20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B02020"/>
                <w:sz w:val="20"/>
                <w:szCs w:val="20"/>
              </w:rPr>
              <w:t xml:space="preserve">−1</w:t>
            </w:r>
          </w:p>
        </w:tc>
      </w:tr>
      <w:tr>
        <w:tc>
          <w:tcPr>
            <w:tcW w:type="dxa" w:w="28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left"/>
            </w:pPr>
            <w:r>
              <w:rPr>
                <w:rFonts w:ascii="Arial" w:cs="Arial" w:eastAsia="Arial" w:hAnsi="Arial"/>
                <w:b/>
                <w:bCs/>
                <w:color w:val="1E2A44"/>
                <w:sz w:val="20"/>
                <w:szCs w:val="20"/>
              </w:rPr>
              <w:t xml:space="preserve">Combined (rev–10 + margin–20 + rates+200)</w:t>
            </w:r>
          </w:p>
        </w:tc>
        <w:tc>
          <w:tcPr>
            <w:tcW w:type="dxa" w:w="256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all three, stacked</w:t>
            </w:r>
          </w:p>
        </w:tc>
        <w:tc>
          <w:tcPr>
            <w:tcW w:type="dxa" w:w="20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B02020"/>
                <w:sz w:val="20"/>
                <w:szCs w:val="20"/>
              </w:rPr>
              <w:t xml:space="preserve">B+</w:t>
            </w:r>
          </w:p>
        </w:tc>
        <w:tc>
          <w:tcPr>
            <w:tcW w:type="dxa" w:w="2000"/>
            <w:tcBorders>
              <w:top w:val="single" w:color="E8DFCB" w:sz="4"/>
              <w:left w:val="single" w:color="E8DFCB" w:sz="4"/>
              <w:bottom w:val="single" w:color="E8DFCB" w:sz="4"/>
              <w:right w:val="single" w:color="E8DFCB" w:sz="4"/>
            </w:tcBorders>
            <w:shd w:fill="F0EADA" w:val="clear"/>
            <w:tcMar>
              <w:top w:type="dxa" w:w="100"/>
              <w:left w:type="dxa" w:w="140"/>
              <w:bottom w:type="dxa" w:w="100"/>
              <w:right w:type="dxa" w:w="140"/>
            </w:tcMar>
          </w:tcPr>
          <w:p>
            <w:pPr>
              <w:jc w:val="center"/>
            </w:pPr>
            <w:r>
              <w:rPr>
                <w:rFonts w:ascii="Arial" w:cs="Arial" w:eastAsia="Arial" w:hAnsi="Arial"/>
                <w:b/>
                <w:bCs/>
                <w:color w:val="B02020"/>
                <w:sz w:val="20"/>
                <w:szCs w:val="20"/>
              </w:rPr>
              <w:t xml:space="preserve">−3</w:t>
            </w:r>
          </w:p>
        </w:tc>
      </w:tr>
    </w:tbl>
    <w:p>
      <w:pPr>
        <w:spacing w:after="120" w:before="18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What the stress ladder tells us</w:t>
      </w:r>
    </w:p>
    <w:p>
      <w:pPr>
        <w:spacing w:after="200" w:before="0"/>
        <w:jc w:val="left"/>
      </w:pPr>
      <w:r>
        <w:rPr>
          <w:rFonts w:ascii="Arial" w:cs="Arial" w:eastAsia="Arial" w:hAnsi="Arial"/>
          <w:b w:val="false"/>
          <w:bCs w:val="false"/>
          <w:i w:val="false"/>
          <w:iCs w:val="false"/>
          <w:color w:val="1E2A44"/>
          <w:sz w:val="22"/>
          <w:szCs w:val="22"/>
        </w:rPr>
        <w:t xml:space="preserve">The single-axis shocks produce modest downgrades (-1 to -2 notches). The combined adverse scenario produces a 3-notch downgrade to B+, which is also the three-notch cap under the overlay envelope. The stress ladder tells us that Boeing’s IG status is defensible under moderate-severity stress but breaks under severe combined stress — consistent with an issuer at the lowest rung of IG. Portfolios with IG mandates should size Boeing exposure with the combined-stress outcome in mind, not the base-case rating.</w:t>
      </w:r>
    </w:p>
    <w:p>
      <w:r>
        <w:br w:type="page"/>
      </w:r>
    </w:p>
    <w:p>
      <w:pPr>
        <w:pStyle w:val="Heading1"/>
        <w:spacing w:after="160" w:before="320"/>
      </w:pPr>
      <w:r>
        <w:rPr>
          <w:rFonts w:ascii="Arial" w:cs="Arial" w:eastAsia="Arial" w:hAnsi="Arial"/>
          <w:b/>
          <w:bCs/>
          <w:color w:val="1E2A44"/>
          <w:sz w:val="30"/>
          <w:szCs w:val="30"/>
        </w:rPr>
        <w:t xml:space="preserve">§8  Model Limitations</w:t>
      </w:r>
    </w:p>
    <w:p>
      <w:pPr>
        <w:spacing w:after="200" w:before="0"/>
        <w:jc w:val="left"/>
      </w:pPr>
      <w:r>
        <w:rPr>
          <w:rFonts w:ascii="Arial" w:cs="Arial" w:eastAsia="Arial" w:hAnsi="Arial"/>
          <w:b w:val="false"/>
          <w:bCs w:val="false"/>
          <w:i w:val="false"/>
          <w:iCs w:val="false"/>
          <w:color w:val="1E2A44"/>
          <w:sz w:val="22"/>
          <w:szCs w:val="22"/>
        </w:rPr>
        <w:t xml:space="preserve">What this rating does NOT capture. The items below are surfaced dynamically by Sentinel’s CFO-1 limitations block and are specific to Boeing’s profile. They are disclosed for informed committee use and do not override the rating, but they do identify the edges of the model’s competence.</w:t>
      </w:r>
    </w:p>
    <w:p>
      <w:pPr>
        <w:pStyle w:val="ListParagraph"/>
        <w:numPr>
          <w:ilvl w:val="0"/>
          <w:numId w:val="2"/>
        </w:numPr>
        <w:spacing w:after="80" w:before="0"/>
      </w:pPr>
      <w:r>
        <w:rPr>
          <w:rFonts w:ascii="Arial" w:cs="Arial" w:eastAsia="Arial" w:hAnsi="Arial"/>
          <w:color w:val="1E2A44"/>
          <w:sz w:val="22"/>
          <w:szCs w:val="22"/>
        </w:rPr>
        <w:t xml:space="preserve">Cyclical-peak normalization uses a 3-year median EBITDA. If the true cycle length is 7–10 years (historical pattern for commercial aerospace), the 3-year median may not correctly identify a peak, and rating will drift favorable at the true cyclical top.</w:t>
      </w:r>
    </w:p>
    <w:p>
      <w:pPr>
        <w:pStyle w:val="ListParagraph"/>
        <w:numPr>
          <w:ilvl w:val="0"/>
          <w:numId w:val="2"/>
        </w:numPr>
        <w:spacing w:after="80" w:before="0"/>
      </w:pPr>
      <w:r>
        <w:rPr>
          <w:rFonts w:ascii="Arial" w:cs="Arial" w:eastAsia="Arial" w:hAnsi="Arial"/>
          <w:color w:val="1E2A44"/>
          <w:sz w:val="22"/>
          <w:szCs w:val="22"/>
        </w:rPr>
        <w:t xml:space="preserve">Business-profile uplift of +1 notch assumes the aerospace duopoly structure holds. A successful new-entrant (e.g., COMAC C919 reaching global certification) would invalidate this overlay and produce a 1-notch downgrade.</w:t>
      </w:r>
    </w:p>
    <w:p>
      <w:pPr>
        <w:pStyle w:val="ListParagraph"/>
        <w:numPr>
          <w:ilvl w:val="0"/>
          <w:numId w:val="2"/>
        </w:numPr>
        <w:spacing w:after="80" w:before="0"/>
      </w:pPr>
      <w:r>
        <w:rPr>
          <w:rFonts w:ascii="Arial" w:cs="Arial" w:eastAsia="Arial" w:hAnsi="Arial"/>
          <w:color w:val="1E2A44"/>
          <w:sz w:val="22"/>
          <w:szCs w:val="22"/>
        </w:rPr>
        <w:t xml:space="preserve">Sovereign-related support qualifier is disclosed but not notched. If a future Basel III revision removed the U.S. defense-prime sovereign-adjacent treatment, Boeing’s capital charge for IG-mandated bank holders would rise materially without a rating change.</w:t>
      </w:r>
    </w:p>
    <w:p>
      <w:pPr>
        <w:pStyle w:val="ListParagraph"/>
        <w:numPr>
          <w:ilvl w:val="0"/>
          <w:numId w:val="2"/>
        </w:numPr>
        <w:spacing w:after="80" w:before="0"/>
      </w:pPr>
      <w:r>
        <w:rPr>
          <w:rFonts w:ascii="Arial" w:cs="Arial" w:eastAsia="Arial" w:hAnsi="Arial"/>
          <w:color w:val="1E2A44"/>
          <w:sz w:val="22"/>
          <w:szCs w:val="22"/>
        </w:rPr>
        <w:t xml:space="preserve">Liquidity support modifier depends on continued availability of the committed revolving credit facility. A covenant breach or counterparty (bank syndicate) pullback would invalidate the 1-notch uplift and drop the rating by 1 notch.</w:t>
      </w:r>
    </w:p>
    <w:p>
      <w:pPr>
        <w:pStyle w:val="ListParagraph"/>
        <w:numPr>
          <w:ilvl w:val="0"/>
          <w:numId w:val="2"/>
        </w:numPr>
        <w:spacing w:after="80" w:before="0"/>
      </w:pPr>
      <w:r>
        <w:rPr>
          <w:rFonts w:ascii="Arial" w:cs="Arial" w:eastAsia="Arial" w:hAnsi="Arial"/>
          <w:color w:val="1E2A44"/>
          <w:sz w:val="22"/>
          <w:szCs w:val="22"/>
        </w:rPr>
        <w:t xml:space="preserve">Financial-policy overlay is a judgment penalty for the 2013–2019 buyback legacy. This could be reconsidered if management demonstrates 3+ years of consistent deleveraging.</w:t>
      </w:r>
    </w:p>
    <w:p>
      <w:pPr>
        <w:pStyle w:val="ListParagraph"/>
        <w:numPr>
          <w:ilvl w:val="0"/>
          <w:numId w:val="2"/>
        </w:numPr>
        <w:spacing w:after="80" w:before="0"/>
      </w:pPr>
      <w:r>
        <w:rPr>
          <w:rFonts w:ascii="Arial" w:cs="Arial" w:eastAsia="Arial" w:hAnsi="Arial"/>
          <w:color w:val="1E2A44"/>
          <w:sz w:val="22"/>
          <w:szCs w:val="22"/>
        </w:rPr>
        <w:t xml:space="preserve">Pension ABO unfunded status (~$5B) is captured in adjusted-basis leverage but rising rate environment may have materially changed the actuarial assumptions since the last 10-K.</w:t>
      </w:r>
    </w:p>
    <w:p>
      <w:pPr>
        <w:pStyle w:val="ListParagraph"/>
        <w:numPr>
          <w:ilvl w:val="0"/>
          <w:numId w:val="2"/>
        </w:numPr>
        <w:spacing w:after="80" w:before="0"/>
      </w:pPr>
      <w:r>
        <w:rPr>
          <w:rFonts w:ascii="Arial" w:cs="Arial" w:eastAsia="Arial" w:hAnsi="Arial"/>
          <w:color w:val="1E2A44"/>
          <w:sz w:val="22"/>
          <w:szCs w:val="22"/>
        </w:rPr>
        <w:t xml:space="preserve">This is a point-in-time rating computed from LTM financials. Drift Monitor (continuous surveillance) should be used for ongoing assessment; discrete rating actions may lag material deterioration by up to one quarter.</w:t>
      </w:r>
    </w:p>
    <w:p>
      <w:pPr>
        <w:pStyle w:val="ListParagraph"/>
        <w:numPr>
          <w:ilvl w:val="0"/>
          <w:numId w:val="2"/>
        </w:numPr>
        <w:spacing w:after="80" w:before="0"/>
      </w:pPr>
      <w:r>
        <w:rPr>
          <w:rFonts w:ascii="Arial" w:cs="Arial" w:eastAsia="Arial" w:hAnsi="Arial"/>
          <w:color w:val="1E2A44"/>
          <w:sz w:val="22"/>
          <w:szCs w:val="22"/>
        </w:rPr>
        <w:t xml:space="preserve">Sentinel is not a Nationally Recognized Statistical Rating Organization (NRSRO). This rating is not usable for Basel III regulatory-capital purposes or for SEC-registered fund rating mandates without supplementary NRSRO coverage.</w:t>
      </w:r>
    </w:p>
    <w:p>
      <w:r>
        <w:br w:type="page"/>
      </w:r>
    </w:p>
    <w:p>
      <w:pPr>
        <w:pStyle w:val="Heading1"/>
        <w:spacing w:after="160" w:before="320"/>
      </w:pPr>
      <w:r>
        <w:rPr>
          <w:rFonts w:ascii="Arial" w:cs="Arial" w:eastAsia="Arial" w:hAnsi="Arial"/>
          <w:b/>
          <w:bCs/>
          <w:color w:val="1E2A44"/>
          <w:sz w:val="30"/>
          <w:szCs w:val="30"/>
        </w:rPr>
        <w:t xml:space="preserve">§9  Appendices</w:t>
      </w:r>
    </w:p>
    <w:p>
      <w:pPr>
        <w:pStyle w:val="Heading3"/>
        <w:spacing w:after="80" w:before="180"/>
      </w:pPr>
      <w:r>
        <w:rPr>
          <w:rFonts w:ascii="Arial" w:cs="Arial" w:eastAsia="Arial" w:hAnsi="Arial"/>
          <w:b/>
          <w:bCs/>
          <w:color w:val="1E2A44"/>
          <w:sz w:val="22"/>
          <w:szCs w:val="22"/>
        </w:rPr>
        <w:t xml:space="preserve">A.1  Key Financial Extracts (LTM basis, illustrative)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Line item</w:t>
            </w:r>
          </w:p>
        </w:tc>
        <w:tc>
          <w:tcPr>
            <w:tcW w:type="dxa" w:w="46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right"/>
            </w:pPr>
            <w:r>
              <w:rPr>
                <w:rFonts w:ascii="Arial" w:cs="Arial" w:eastAsia="Arial" w:hAnsi="Arial"/>
                <w:b/>
                <w:bCs/>
                <w:color w:val="FFFFFF"/>
                <w:sz w:val="20"/>
                <w:szCs w:val="20"/>
              </w:rPr>
              <w:t xml:space="preserve">Value (USD)</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Revenue (LTM)</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~$77.8B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Operating income (LTM)</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~$(1.2)B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EBITDA (LTM, reported)</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~$5.1B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EBITDA (3-year median, illustrative)</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~$6.8B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Total Debt</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~$48.5B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Cash &amp; marketable securities</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~$13.8B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Net Debt</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~$34.7B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Interest expense (LTM)</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~$2.1B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Undrawn committed RCF</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~$10.0B</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Operating lease liability</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~$3.0B (B4-1 captured)</w:t>
            </w:r>
          </w:p>
        </w:tc>
      </w:tr>
      <w:tr>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Backlog (total, BCA + BDS)</w:t>
            </w:r>
          </w:p>
        </w:tc>
        <w:tc>
          <w:tcPr>
            <w:tcW w:type="dxa" w:w="46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right"/>
            </w:pPr>
            <w:r>
              <w:rPr>
                <w:rFonts w:ascii="Arial" w:cs="Arial" w:eastAsia="Arial" w:hAnsi="Arial"/>
                <w:b w:val="false"/>
                <w:bCs w:val="false"/>
                <w:color w:val="1E2A44"/>
                <w:sz w:val="20"/>
                <w:szCs w:val="20"/>
              </w:rPr>
              <w:t xml:space="preserve">~$500B+</w:t>
            </w:r>
          </w:p>
        </w:tc>
      </w:tr>
    </w:tbl>
    <w:p>
      <w:pPr>
        <w:spacing w:after="120" w:before="18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A.2  Calibration provenance</w:t>
      </w:r>
    </w:p>
    <w:p>
      <w:pPr>
        <w:pStyle w:val="ListParagraph"/>
        <w:numPr>
          <w:ilvl w:val="0"/>
          <w:numId w:val="2"/>
        </w:numPr>
        <w:spacing w:after="80" w:before="0"/>
      </w:pPr>
      <w:r>
        <w:rPr>
          <w:rFonts w:ascii="Arial" w:cs="Arial" w:eastAsia="Arial" w:hAnsi="Arial"/>
          <w:color w:val="1E2A44"/>
          <w:sz w:val="22"/>
          <w:szCs w:val="22"/>
        </w:rPr>
        <w:t xml:space="preserve">S&amp;P methodology weighting: 35% (X-15 frozen).</w:t>
      </w:r>
    </w:p>
    <w:p>
      <w:pPr>
        <w:pStyle w:val="ListParagraph"/>
        <w:numPr>
          <w:ilvl w:val="0"/>
          <w:numId w:val="2"/>
        </w:numPr>
        <w:spacing w:after="80" w:before="0"/>
      </w:pPr>
      <w:r>
        <w:rPr>
          <w:rFonts w:ascii="Arial" w:cs="Arial" w:eastAsia="Arial" w:hAnsi="Arial"/>
          <w:color w:val="1E2A44"/>
          <w:sz w:val="22"/>
          <w:szCs w:val="22"/>
        </w:rPr>
        <w:t xml:space="preserve">Moody’s methodology weighting: 35% (X-15 frozen).</w:t>
      </w:r>
    </w:p>
    <w:p>
      <w:pPr>
        <w:pStyle w:val="ListParagraph"/>
        <w:numPr>
          <w:ilvl w:val="0"/>
          <w:numId w:val="2"/>
        </w:numPr>
        <w:spacing w:after="80" w:before="0"/>
      </w:pPr>
      <w:r>
        <w:rPr>
          <w:rFonts w:ascii="Arial" w:cs="Arial" w:eastAsia="Arial" w:hAnsi="Arial"/>
          <w:color w:val="1E2A44"/>
          <w:sz w:val="22"/>
          <w:szCs w:val="22"/>
        </w:rPr>
        <w:t xml:space="preserve">Fitch methodology weighting: 30% (X-15 frozen).</w:t>
      </w:r>
    </w:p>
    <w:p>
      <w:pPr>
        <w:pStyle w:val="ListParagraph"/>
        <w:numPr>
          <w:ilvl w:val="0"/>
          <w:numId w:val="2"/>
        </w:numPr>
        <w:spacing w:after="80" w:before="0"/>
      </w:pPr>
      <w:r>
        <w:rPr>
          <w:rFonts w:ascii="Arial" w:cs="Arial" w:eastAsia="Arial" w:hAnsi="Arial"/>
          <w:color w:val="1E2A44"/>
          <w:sz w:val="22"/>
          <w:szCs w:val="22"/>
        </w:rPr>
        <w:t xml:space="preserve">PD horizon basis: TTC (through-the-cycle); PIT adjustment available on demand for CECL / IFRS-9 / CCAR surfaces (X-10).</w:t>
      </w:r>
    </w:p>
    <w:p>
      <w:pPr>
        <w:pStyle w:val="ListParagraph"/>
        <w:numPr>
          <w:ilvl w:val="0"/>
          <w:numId w:val="2"/>
        </w:numPr>
        <w:spacing w:after="80" w:before="0"/>
      </w:pPr>
      <w:r>
        <w:rPr>
          <w:rFonts w:ascii="Arial" w:cs="Arial" w:eastAsia="Arial" w:hAnsi="Arial"/>
          <w:color w:val="1E2A44"/>
          <w:sz w:val="22"/>
          <w:szCs w:val="22"/>
        </w:rPr>
        <w:t xml:space="preserve">Overlay envelope: ±3 notches aggregate cap (X-12b); individual overlay citations in Section 5.</w:t>
      </w:r>
    </w:p>
    <w:p>
      <w:pPr>
        <w:pStyle w:val="ListParagraph"/>
        <w:numPr>
          <w:ilvl w:val="0"/>
          <w:numId w:val="2"/>
        </w:numPr>
        <w:spacing w:after="80" w:before="0"/>
      </w:pPr>
      <w:r>
        <w:rPr>
          <w:rFonts w:ascii="Arial" w:cs="Arial" w:eastAsia="Arial" w:hAnsi="Arial"/>
          <w:color w:val="1E2A44"/>
          <w:sz w:val="22"/>
          <w:szCs w:val="22"/>
        </w:rPr>
        <w:t xml:space="preserve">Cyclical-peak detector: HeliosCyclicalNormalizer U4a; 3-year median smoothing when sector classified HIGH_CYCLICAL and EBITDA &gt; 1.4x 3Y median.</w:t>
      </w:r>
    </w:p>
    <w:p>
      <w:pPr>
        <w:pStyle w:val="ListParagraph"/>
        <w:numPr>
          <w:ilvl w:val="0"/>
          <w:numId w:val="2"/>
        </w:numPr>
        <w:spacing w:after="80" w:before="0"/>
      </w:pPr>
      <w:r>
        <w:rPr>
          <w:rFonts w:ascii="Arial" w:cs="Arial" w:eastAsia="Arial" w:hAnsi="Arial"/>
          <w:color w:val="1E2A44"/>
          <w:sz w:val="22"/>
          <w:szCs w:val="22"/>
        </w:rPr>
        <w:t xml:space="preserve">Business-profile uplift: BA-BIZPROFILE module; moat ≥2 AND staple ≥1 trigger +1 notch (cap at +1).</w:t>
      </w:r>
    </w:p>
    <w:p>
      <w:pPr>
        <w:pStyle w:val="ListParagraph"/>
        <w:numPr>
          <w:ilvl w:val="0"/>
          <w:numId w:val="2"/>
        </w:numPr>
        <w:spacing w:after="80" w:before="0"/>
      </w:pPr>
      <w:r>
        <w:rPr>
          <w:rFonts w:ascii="Arial" w:cs="Arial" w:eastAsia="Arial" w:hAnsi="Arial"/>
          <w:color w:val="1E2A44"/>
          <w:sz w:val="22"/>
          <w:szCs w:val="22"/>
        </w:rPr>
        <w:t xml:space="preserve">CHS coefficients: frozen 1963–2003 sample, never re-fit (CIO-1 SR 11-7 compliance).</w:t>
      </w:r>
    </w:p>
    <w:p>
      <w:pPr>
        <w:pStyle w:val="Heading3"/>
        <w:spacing w:after="80" w:before="180"/>
      </w:pPr>
      <w:r>
        <w:rPr>
          <w:rFonts w:ascii="Arial" w:cs="Arial" w:eastAsia="Arial" w:hAnsi="Arial"/>
          <w:b/>
          <w:bCs/>
          <w:color w:val="1E2A44"/>
          <w:sz w:val="22"/>
          <w:szCs w:val="22"/>
        </w:rPr>
        <w:t xml:space="preserve">A.3  Data lineage</w:t>
      </w:r>
    </w:p>
    <w:p>
      <w:pPr>
        <w:spacing w:after="200" w:before="0"/>
        <w:jc w:val="left"/>
      </w:pPr>
      <w:r>
        <w:rPr>
          <w:rFonts w:ascii="Arial" w:cs="Arial" w:eastAsia="Arial" w:hAnsi="Arial"/>
          <w:b w:val="false"/>
          <w:bCs w:val="false"/>
          <w:i w:val="false"/>
          <w:iCs w:val="false"/>
          <w:color w:val="1E2A44"/>
          <w:sz w:val="22"/>
          <w:szCs w:val="22"/>
        </w:rPr>
        <w:t xml:space="preserve">All financial inputs sourced from public SEC filings (10-K, 10-Q) via the EDGAR pipeline at the time of the sample. Backlog and business-profile inputs sourced from public investor presentations and MD&amp;A discussion. Challenger model inputs (Altman, Ohlson, Zmijewski, Merton DD) computed from the same balance-sheet and market-data source set. Outcome Ledger entry available under filter letter=BBB-, from=BB+, in the append-only ratings ledger. Model Card (human-readable provenance snapshot) available from the Sample Reports tab.</w:t>
      </w:r>
    </w:p>
    <w:p>
      <w:r>
        <w:br w:type="page"/>
      </w:r>
    </w:p>
    <w:p>
      <w:pPr>
        <w:pStyle w:val="Heading1"/>
        <w:spacing w:after="160" w:before="320"/>
      </w:pPr>
      <w:r>
        <w:rPr>
          <w:rFonts w:ascii="Arial" w:cs="Arial" w:eastAsia="Arial" w:hAnsi="Arial"/>
          <w:b/>
          <w:bCs/>
          <w:color w:val="1E2A44"/>
          <w:sz w:val="30"/>
          <w:szCs w:val="30"/>
        </w:rPr>
        <w:t xml:space="preserve">§10  Sign-off Block</w:t>
      </w:r>
    </w:p>
    <w:p>
      <w:pPr>
        <w:spacing w:after="200" w:before="0"/>
        <w:jc w:val="left"/>
      </w:pPr>
      <w:r>
        <w:rPr>
          <w:rFonts w:ascii="Arial" w:cs="Arial" w:eastAsia="Arial" w:hAnsi="Arial"/>
          <w:b w:val="false"/>
          <w:bCs w:val="false"/>
          <w:i w:val="false"/>
          <w:iCs w:val="false"/>
          <w:color w:val="1E2A44"/>
          <w:sz w:val="22"/>
          <w:szCs w:val="22"/>
        </w:rPr>
        <w:t xml:space="preserve">Investment Committee Vote Template. This sample uses a 3-signatory format consistent with Sentinel’s model governance spec. Actual production deployments should substitute the governance structure of the consuming institution.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1740"/>
        <w:gridCol w:w="1740"/>
      </w:tblGrid>
      <w:tr>
        <w:tc>
          <w:tcPr>
            <w:tcW w:type="dxa" w:w="240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Role</w:t>
            </w:r>
          </w:p>
        </w:tc>
        <w:tc>
          <w:tcPr>
            <w:tcW w:type="dxa" w:w="348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left"/>
            </w:pPr>
            <w:r>
              <w:rPr>
                <w:rFonts w:ascii="Arial" w:cs="Arial" w:eastAsia="Arial" w:hAnsi="Arial"/>
                <w:b/>
                <w:bCs/>
                <w:color w:val="FFFFFF"/>
                <w:sz w:val="20"/>
                <w:szCs w:val="20"/>
              </w:rPr>
              <w:t xml:space="preserve">Name / Signature</w:t>
            </w:r>
          </w:p>
        </w:tc>
        <w:tc>
          <w:tcPr>
            <w:tcW w:type="dxa" w:w="174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Vote</w:t>
            </w:r>
          </w:p>
        </w:tc>
        <w:tc>
          <w:tcPr>
            <w:tcW w:type="dxa" w:w="1740"/>
            <w:tcBorders>
              <w:top w:val="single" w:color="E8DFCB" w:sz="4"/>
              <w:left w:val="single" w:color="E8DFCB" w:sz="4"/>
              <w:bottom w:val="single" w:color="E8DFCB" w:sz="4"/>
              <w:right w:val="single" w:color="E8DFCB" w:sz="4"/>
            </w:tcBorders>
            <w:shd w:fill="1E2A44"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Date</w:t>
            </w:r>
          </w:p>
        </w:tc>
      </w:tr>
      <w:tr>
        <w:tc>
          <w:tcPr>
            <w:tcW w:type="dxa" w:w="24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Chief Credit Officer</w:t>
            </w:r>
          </w:p>
        </w:tc>
        <w:tc>
          <w:tcPr>
            <w:tcW w:type="dxa" w:w="34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______________________</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 Approve  □ Hold</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___/___/____</w:t>
            </w:r>
          </w:p>
        </w:tc>
      </w:tr>
      <w:tr>
        <w:tc>
          <w:tcPr>
            <w:tcW w:type="dxa" w:w="24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Chief Investment Officer</w:t>
            </w:r>
          </w:p>
        </w:tc>
        <w:tc>
          <w:tcPr>
            <w:tcW w:type="dxa" w:w="34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______________________</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 Approve  □ Hold</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___/___/____</w:t>
            </w:r>
          </w:p>
        </w:tc>
      </w:tr>
      <w:tr>
        <w:tc>
          <w:tcPr>
            <w:tcW w:type="dxa" w:w="240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Committee Chair</w:t>
            </w:r>
          </w:p>
        </w:tc>
        <w:tc>
          <w:tcPr>
            <w:tcW w:type="dxa" w:w="348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left"/>
            </w:pPr>
            <w:r>
              <w:rPr>
                <w:rFonts w:ascii="Arial" w:cs="Arial" w:eastAsia="Arial" w:hAnsi="Arial"/>
                <w:b w:val="false"/>
                <w:bCs w:val="false"/>
                <w:color w:val="1E2A44"/>
                <w:sz w:val="20"/>
                <w:szCs w:val="20"/>
              </w:rPr>
              <w:t xml:space="preserve">______________________</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 Approve  □ Hold</w:t>
            </w:r>
          </w:p>
        </w:tc>
        <w:tc>
          <w:tcPr>
            <w:tcW w:type="dxa" w:w="1740"/>
            <w:tcBorders>
              <w:top w:val="single" w:color="E8DFCB" w:sz="4"/>
              <w:left w:val="single" w:color="E8DFCB" w:sz="4"/>
              <w:bottom w:val="single" w:color="E8DFCB" w:sz="4"/>
              <w:right w:val="single" w:color="E8DFCB" w:sz="4"/>
            </w:tcBorders>
            <w:tcMar>
              <w:top w:type="dxa" w:w="100"/>
              <w:left w:type="dxa" w:w="140"/>
              <w:bottom w:type="dxa" w:w="100"/>
              <w:right w:type="dxa" w:w="140"/>
            </w:tcMar>
          </w:tcPr>
          <w:p>
            <w:pPr>
              <w:jc w:val="center"/>
            </w:pPr>
            <w:r>
              <w:rPr>
                <w:rFonts w:ascii="Arial" w:cs="Arial" w:eastAsia="Arial" w:hAnsi="Arial"/>
                <w:b w:val="false"/>
                <w:bCs w:val="false"/>
                <w:color w:val="1E2A44"/>
                <w:sz w:val="20"/>
                <w:szCs w:val="20"/>
              </w:rPr>
              <w:t xml:space="preserve">___/___/____</w:t>
            </w:r>
          </w:p>
        </w:tc>
      </w:tr>
    </w:tbl>
    <w:p>
      <w:pPr>
        <w:spacing w:after="120" w:before="240"/>
        <w:jc w:val="left"/>
      </w:pPr>
      <w:r>
        <w:rPr>
          <w:rFonts w:ascii="Arial" w:cs="Arial" w:eastAsia="Arial" w:hAnsi="Arial"/>
          <w:b w:val="false"/>
          <w:bCs w:val="false"/>
          <w:i w:val="false"/>
          <w:iCs w:val="false"/>
          <w:color w:val="1E2A44"/>
          <w:sz w:val="22"/>
          <w:szCs w:val="22"/>
        </w:rPr>
        <w:t xml:space="preserve"> </w:t>
      </w:r>
    </w:p>
    <w:p>
      <w:pPr>
        <w:pStyle w:val="Heading3"/>
        <w:spacing w:after="80" w:before="180"/>
      </w:pPr>
      <w:r>
        <w:rPr>
          <w:rFonts w:ascii="Arial" w:cs="Arial" w:eastAsia="Arial" w:hAnsi="Arial"/>
          <w:b/>
          <w:bCs/>
          <w:color w:val="1E2A44"/>
          <w:sz w:val="22"/>
          <w:szCs w:val="22"/>
        </w:rPr>
        <w:t xml:space="preserve">Disclaimer</w:t>
      </w:r>
    </w:p>
    <w:p>
      <w:pPr>
        <w:spacing w:after="160" w:before="0"/>
        <w:jc w:val="left"/>
      </w:pPr>
      <w:r>
        <w:rPr>
          <w:rFonts w:ascii="Arial" w:cs="Arial" w:eastAsia="Arial" w:hAnsi="Arial"/>
          <w:b w:val="false"/>
          <w:bCs w:val="false"/>
          <w:i w:val="false"/>
          <w:iCs w:val="false"/>
          <w:color w:val="1E2A44"/>
          <w:sz w:val="22"/>
          <w:szCs w:val="22"/>
        </w:rPr>
        <w:t xml:space="preserve">Sentinel Credit is not a Nationally Recognized Statistical Rating Organization (NRSRO). This memorandum is a representative sample generated for illustrative purposes. Nothing in this document constitutes (a) a current rating opinion on The Boeing Company, (b) investment advice, (c) a recommendation to buy, hold, or sell any security, or (d) a statement usable for Basel III regulatory-capital purposes. Ratings cited for agency references (S&amp;P, Moody’s, Fitch) are drawn from public rating-action releases and reflect the state of those agencies’ published opinions at the time of this sample, not at the time of the reader’s review.</w:t>
      </w:r>
    </w:p>
    <w:p>
      <w:pPr>
        <w:spacing w:after="200" w:before="0"/>
        <w:jc w:val="left"/>
      </w:pPr>
      <w:r>
        <w:rPr>
          <w:rFonts w:ascii="Arial" w:cs="Arial" w:eastAsia="Arial" w:hAnsi="Arial"/>
          <w:b w:val="false"/>
          <w:bCs w:val="false"/>
          <w:i w:val="false"/>
          <w:iCs w:val="false"/>
          <w:color w:val="1E2A44"/>
          <w:sz w:val="22"/>
          <w:szCs w:val="22"/>
        </w:rPr>
        <w:t xml:space="preserve">For a current rating, run this company through the Rate a Company workflow. Every Sentinel rating is reproducible: the full input set, methodology version, and overlay stack are captured in the Model Card and the Outcome Ledger, enabling independent validation by a credit committee, model-risk function, or external auditor.</w:t>
      </w:r>
    </w:p>
    <w:sectPr>
      <w:headerReference w:type="default" r:id="rId7"/>
      <w:footerReference w:type="default" r:id="rId8"/>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A6374"/>
        <w:sz w:val="14"/>
        <w:szCs w:val="14"/>
      </w:rPr>
      <w:t xml:space="preserve">Sentinel Credit IC Memo — The Boeing Company (BA)   ▪   </w:t>
    </w:r>
    <w:r>
      <w:rPr>
        <w:rFonts w:ascii="Arial" w:cs="Arial" w:eastAsia="Arial" w:hAnsi="Arial"/>
        <w:color w:val="5A6374"/>
        <w:sz w:val="14"/>
        <w:szCs w:val="14"/>
      </w:rPr>
      <w:t xml:space="preserve">Not an NRSRO   ▪   Page </w:t>
    </w:r>
    <w:r>
      <w:rPr>
        <w:rFonts w:ascii="Arial" w:cs="Arial" w:eastAsia="Arial" w:hAnsi="Arial"/>
        <w:color w:val="5A6374"/>
        <w:sz w:val="14"/>
        <w:szCs w:val="14"/>
      </w:rPr>
      <w:fldChar w:fldCharType="begin"/>
      <w:instrText xml:space="preserve">PAGE</w:instrText>
      <w:fldChar w:fldCharType="separate"/>
      <w:fldChar w:fldCharType="end"/>
    </w:r>
    <w:r>
      <w:rPr>
        <w:rFonts w:ascii="Arial" w:cs="Arial" w:eastAsia="Arial" w:hAnsi="Arial"/>
        <w:color w:val="5A6374"/>
        <w:sz w:val="14"/>
        <w:szCs w:val="14"/>
      </w:rPr>
      <w:t xml:space="preserve"> of </w:t>
    </w:r>
    <w:r>
      <w:rPr>
        <w:rFonts w:ascii="Arial" w:cs="Arial" w:eastAsia="Arial" w:hAnsi="Arial"/>
        <w:color w:val="5A6374"/>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color w:val="B8935E"/>
        <w:sz w:val="14"/>
        <w:szCs w:val="14"/>
      </w:rPr>
      <w:t xml:space="preserve">SAMPLE — REPRESENTATIVE OUTPUT   ▪   SENTINEL RATINGS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E2A44"/>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E2A44"/>
      <w:sz w:val="26"/>
      <w:szCs w:val="26"/>
    </w:rPr>
  </w:style>
  <w:style w:type="paragraph" w:styleId="Heading3">
    <w:name w:val="Heading 3"/>
    <w:basedOn w:val="Normal"/>
    <w:next w:val="Normal"/>
    <w:qFormat/>
    <w:pPr>
      <w:spacing w:after="80" w:before="180"/>
      <w:outlineLvl w:val="2"/>
    </w:pPr>
    <w:rPr>
      <w:rFonts w:ascii="Arial" w:cs="Arial" w:eastAsia="Arial" w:hAnsi="Arial"/>
      <w:b/>
      <w:bCs/>
      <w:color w:val="1E2A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Sample IC Memo — The Boeing Company (BA)</dc:title>
  <dc:creator>Sentinel Credit Inc.</dc:creator>
  <dc:description>Representative Investment Committee Memorandum generated by Sentinel Credit. Sample / illustrative. Not a current rating opinion.</dc:description>
  <cp:lastModifiedBy>Un-named</cp:lastModifiedBy>
  <cp:revision>1</cp:revision>
  <dcterms:created xsi:type="dcterms:W3CDTF">2026-04-24T02:23:54.405Z</dcterms:created>
  <dcterms:modified xsi:type="dcterms:W3CDTF">2026-04-24T02:23:54.406Z</dcterms:modified>
</cp:coreProperties>
</file>

<file path=docProps/custom.xml><?xml version="1.0" encoding="utf-8"?>
<Properties xmlns="http://schemas.openxmlformats.org/officeDocument/2006/custom-properties" xmlns:vt="http://schemas.openxmlformats.org/officeDocument/2006/docPropsVTypes"/>
</file>