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Arial" w:cs="Arial" w:eastAsia="Arial" w:hAnsi="Arial"/>
          <w:b/>
          <w:bCs/>
          <w:color w:val="14223F"/>
          <w:sz w:val="30"/>
          <w:szCs w:val="30"/>
        </w:rPr>
        <w:t xml:space="preserve">TREASURY REVIEW &amp; FINANCING CAPACITY SELF-ASSESSMENT</w:t>
      </w:r>
    </w:p>
    <w:p>
      <w:pPr>
        <w:spacing w:after="60" w:before="0"/>
      </w:pPr>
      <w:r>
        <w:rPr>
          <w:rFonts w:ascii="Arial" w:cs="Arial" w:eastAsia="Arial" w:hAnsi="Arial"/>
          <w:b/>
          <w:bCs/>
          <w:color w:val="14223F"/>
          <w:sz w:val="26"/>
          <w:szCs w:val="26"/>
        </w:rPr>
        <w:t xml:space="preserve">The J. M. Smucker Company</w:t>
      </w:r>
      <w:r>
        <w:rPr>
          <w:rFonts w:ascii="Arial" w:cs="Arial" w:eastAsia="Arial" w:hAnsi="Arial"/>
          <w:color w:val="5A5F66"/>
          <w:sz w:val="20"/>
          <w:szCs w:val="20"/>
        </w:rPr>
        <w:t xml:space="preserve">   NYSE: SJM   ·   Packaged Foods   ·   FY2026 (ended April 30, 2026)</w:t>
      </w:r>
    </w:p>
    <w:p>
      <w:pPr>
        <w:spacing w:after="160"/>
      </w:pPr>
      <w:r>
        <w:rPr>
          <w:rFonts w:ascii="Arial" w:cs="Arial" w:eastAsia="Arial" w:hAnsi="Arial"/>
          <w:b/>
          <w:bCs/>
          <w:color w:val="FFFFFF"/>
          <w:sz w:val="15"/>
          <w:szCs w:val="15"/>
          <w:shd w:fill="B0862E" w:val="clear"/>
        </w:rPr>
        <w:t xml:space="preserve">SAMPLE — REPRESENTATIVE OUTPUT</w:t>
      </w:r>
      <w:r>
        <w:rPr>
          <w:rFonts w:ascii="Arial" w:cs="Arial" w:eastAsia="Arial" w:hAnsi="Arial"/>
          <w:i/>
          <w:iCs/>
          <w:color w:val="5A5F66"/>
          <w:sz w:val="16"/>
          <w:szCs w:val="16"/>
        </w:rPr>
        <w:t xml:space="preserve">   Illustrative of a Sentinel Treasury Review. Built from public SEC filings; not a current rating opinion.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0862E" w:sz="18"/>
              <w:left w:val="single" w:color="D9D2C2" w:sz="1"/>
              <w:bottom w:val="single" w:color="D9D2C2" w:sz="1"/>
              <w:right w:val="single" w:color="D9D2C2" w:sz="1"/>
            </w:tcBorders>
            <w:shd w:fill="F7F2E8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14223F"/>
                <w:sz w:val="22"/>
                <w:szCs w:val="22"/>
              </w:rPr>
              <w:t xml:space="preserve">Sentinel verdict — Investment grade; deleveraging on track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Smucker carries elevated post-acquisition leverage (≈3.9x net debt / adjusted EBITDA) from the 2023 Hostess deal, but it is deleveraging on schedule and its cash generation is strong and stable (≈$1.16B free cash flow). The non-cash Hostess impairments that pushed GAAP earnings negative have depressed reported optics — not the cash treasury reality. Liquidity is adequate (thin cash by design, backstopped by an undrawn revolver and durable free cash flow), the maturity ladder is staggered with no near-term wall, and the dividend is covered ≈2.5x. Incremental debt capacity is currently limited (≈$0.3–$0.6B before downgrade pressure) and expands as EBITDA normalizes and debt is repaid.</w:t>
            </w:r>
          </w:p>
        </w:tc>
      </w:tr>
    </w:tbl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Style w:val="Heading1"/>
        <w:pBdr>
          <w:bottom w:val="single" w:color="B0862E" w:sz="6" w:space="3"/>
        </w:pBdr>
        <w:spacing w:after="140" w:before="260"/>
      </w:pPr>
      <w:r>
        <w:rPr>
          <w:rFonts w:ascii="Arial" w:cs="Arial" w:eastAsia="Arial" w:hAnsi="Arial"/>
          <w:b/>
          <w:bCs/>
          <w:color w:val="14223F"/>
          <w:sz w:val="26"/>
          <w:szCs w:val="26"/>
        </w:rPr>
        <w:t xml:space="preserve">1.  Liquidity position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>Headline: adequate. </w:t>
      </w:r>
      <w:r>
        <w:rPr>
          <w:rFonts w:ascii="Arial" w:cs="Arial" w:eastAsia="Arial" w:hAnsi="Arial"/>
          <w:sz w:val="22"/>
          <w:szCs w:val="22"/>
        </w:rPr>
        <w:t xml:space="preserve">Cash is deliberately thin ($58.6M) for a staples issuer that sweeps free cash to debt paydown, but it is backstopped by an undrawn revolving credit facility and durable free cash flow of ≈$1.16B. Near-term obligations are comfortably covered.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rPr>
          <w:tblHeader/>
        </w:trPr>
        <w:tc>
          <w:tcPr>
            <w:tcW w:type="dxa" w:w="3120"/>
            <w:tcBorders>
              <w:top w:val="single" w:color="D9D2C2" w:sz="1"/>
              <w:left w:val="single" w:color="D9D2C2" w:sz="1"/>
              <w:bottom w:val="single" w:color="D9D2C2" w:sz="1"/>
              <w:right w:val="single" w:color="D9D2C2" w:sz="1"/>
            </w:tcBorders>
            <w:shd w:fill="14223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Liquidity source</w:t>
            </w:r>
          </w:p>
        </w:tc>
        <w:tc>
          <w:tcPr>
            <w:tcW w:type="dxa" w:w="3120"/>
            <w:tcBorders>
              <w:top w:val="single" w:color="D9D2C2" w:sz="1"/>
              <w:left w:val="single" w:color="D9D2C2" w:sz="1"/>
              <w:bottom w:val="single" w:color="D9D2C2" w:sz="1"/>
              <w:right w:val="single" w:color="D9D2C2" w:sz="1"/>
            </w:tcBorders>
            <w:shd w:fill="14223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FY2026</w:t>
            </w:r>
          </w:p>
        </w:tc>
        <w:tc>
          <w:tcPr>
            <w:tcW w:type="dxa" w:w="3120"/>
            <w:tcBorders>
              <w:top w:val="single" w:color="D9D2C2" w:sz="1"/>
              <w:left w:val="single" w:color="D9D2C2" w:sz="1"/>
              <w:bottom w:val="single" w:color="D9D2C2" w:sz="1"/>
              <w:right w:val="single" w:color="D9D2C2" w:sz="1"/>
            </w:tcBorders>
            <w:shd w:fill="14223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Comment</w:t>
            </w:r>
          </w:p>
        </w:tc>
      </w:tr>
      <w:tr>
        <w:tc>
          <w:tcPr>
            <w:tcW w:type="dxa" w:w="3120"/>
            <w:tcBorders>
              <w:top w:val="single" w:color="D9D2C2" w:sz="1"/>
              <w:left w:val="single" w:color="D9D2C2" w:sz="1"/>
              <w:bottom w:val="single" w:color="D9D2C2" w:sz="1"/>
              <w:right w:val="single" w:color="D9D2C2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Cash &amp; equivalents</w:t>
            </w:r>
          </w:p>
        </w:tc>
        <w:tc>
          <w:tcPr>
            <w:tcW w:type="dxa" w:w="3120"/>
            <w:tcBorders>
              <w:top w:val="single" w:color="D9D2C2" w:sz="1"/>
              <w:left w:val="single" w:color="D9D2C2" w:sz="1"/>
              <w:bottom w:val="single" w:color="D9D2C2" w:sz="1"/>
              <w:right w:val="single" w:color="D9D2C2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$58.6M</w:t>
            </w:r>
          </w:p>
        </w:tc>
        <w:tc>
          <w:tcPr>
            <w:tcW w:type="dxa" w:w="3120"/>
            <w:tcBorders>
              <w:top w:val="single" w:color="D9D2C2" w:sz="1"/>
              <w:left w:val="single" w:color="D9D2C2" w:sz="1"/>
              <w:bottom w:val="single" w:color="D9D2C2" w:sz="1"/>
              <w:right w:val="single" w:color="D9D2C2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Swept to debt paydown by policy</w:t>
            </w:r>
          </w:p>
        </w:tc>
      </w:tr>
      <w:tr>
        <w:tc>
          <w:tcPr>
            <w:tcW w:type="dxa" w:w="3120"/>
            <w:tcBorders>
              <w:top w:val="single" w:color="D9D2C2" w:sz="1"/>
              <w:left w:val="single" w:color="D9D2C2" w:sz="1"/>
              <w:bottom w:val="single" w:color="D9D2C2" w:sz="1"/>
              <w:right w:val="single" w:color="D9D2C2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Operating cash flow</w:t>
            </w:r>
          </w:p>
        </w:tc>
        <w:tc>
          <w:tcPr>
            <w:tcW w:type="dxa" w:w="3120"/>
            <w:tcBorders>
              <w:top w:val="single" w:color="D9D2C2" w:sz="1"/>
              <w:left w:val="single" w:color="D9D2C2" w:sz="1"/>
              <w:bottom w:val="single" w:color="D9D2C2" w:sz="1"/>
              <w:right w:val="single" w:color="D9D2C2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≈$1,473M</w:t>
            </w:r>
          </w:p>
        </w:tc>
        <w:tc>
          <w:tcPr>
            <w:tcW w:type="dxa" w:w="3120"/>
            <w:tcBorders>
              <w:top w:val="single" w:color="D9D2C2" w:sz="1"/>
              <w:left w:val="single" w:color="D9D2C2" w:sz="1"/>
              <w:bottom w:val="single" w:color="D9D2C2" w:sz="1"/>
              <w:right w:val="single" w:color="D9D2C2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Stable, staples-grade</w:t>
            </w:r>
          </w:p>
        </w:tc>
      </w:tr>
      <w:tr>
        <w:tc>
          <w:tcPr>
            <w:tcW w:type="dxa" w:w="3120"/>
            <w:tcBorders>
              <w:top w:val="single" w:color="D9D2C2" w:sz="1"/>
              <w:left w:val="single" w:color="D9D2C2" w:sz="1"/>
              <w:bottom w:val="single" w:color="D9D2C2" w:sz="1"/>
              <w:right w:val="single" w:color="D9D2C2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Free cash flow</w:t>
            </w:r>
          </w:p>
        </w:tc>
        <w:tc>
          <w:tcPr>
            <w:tcW w:type="dxa" w:w="3120"/>
            <w:tcBorders>
              <w:top w:val="single" w:color="D9D2C2" w:sz="1"/>
              <w:left w:val="single" w:color="D9D2C2" w:sz="1"/>
              <w:bottom w:val="single" w:color="D9D2C2" w:sz="1"/>
              <w:right w:val="single" w:color="D9D2C2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≈$1,156M</w:t>
            </w:r>
          </w:p>
        </w:tc>
        <w:tc>
          <w:tcPr>
            <w:tcW w:type="dxa" w:w="3120"/>
            <w:tcBorders>
              <w:top w:val="single" w:color="D9D2C2" w:sz="1"/>
              <w:left w:val="single" w:color="D9D2C2" w:sz="1"/>
              <w:bottom w:val="single" w:color="D9D2C2" w:sz="1"/>
              <w:right w:val="single" w:color="D9D2C2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After ≈$317M capex</w:t>
            </w:r>
          </w:p>
        </w:tc>
      </w:tr>
      <w:tr>
        <w:tc>
          <w:tcPr>
            <w:tcW w:type="dxa" w:w="3120"/>
            <w:tcBorders>
              <w:top w:val="single" w:color="D9D2C2" w:sz="1"/>
              <w:left w:val="single" w:color="D9D2C2" w:sz="1"/>
              <w:bottom w:val="single" w:color="D9D2C2" w:sz="1"/>
              <w:right w:val="single" w:color="D9D2C2" w:sz="1"/>
            </w:tcBorders>
            <w:shd w:fill="F7F2E8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Revolver (committed)</w:t>
            </w:r>
          </w:p>
        </w:tc>
        <w:tc>
          <w:tcPr>
            <w:tcW w:type="dxa" w:w="3120"/>
            <w:tcBorders>
              <w:top w:val="single" w:color="D9D2C2" w:sz="1"/>
              <w:left w:val="single" w:color="D9D2C2" w:sz="1"/>
              <w:bottom w:val="single" w:color="D9D2C2" w:sz="1"/>
              <w:right w:val="single" w:color="D9D2C2" w:sz="1"/>
            </w:tcBorders>
            <w:shd w:fill="F7F2E8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Undrawn</w:t>
            </w:r>
          </w:p>
        </w:tc>
        <w:tc>
          <w:tcPr>
            <w:tcW w:type="dxa" w:w="3120"/>
            <w:tcBorders>
              <w:top w:val="single" w:color="D9D2C2" w:sz="1"/>
              <w:left w:val="single" w:color="D9D2C2" w:sz="1"/>
              <w:bottom w:val="single" w:color="D9D2C2" w:sz="1"/>
              <w:right w:val="single" w:color="D9D2C2" w:sz="1"/>
            </w:tcBorders>
            <w:shd w:fill="F7F2E8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Primary liquidity backstop</w:t>
            </w:r>
          </w:p>
        </w:tc>
      </w:tr>
    </w:tbl>
    <w:p>
      <w:pPr>
        <w:spacing w:after="140" w:before="0"/>
      </w:pPr>
      <w:r>
        <w:rPr>
          <w:rFonts w:ascii="Arial" w:cs="Arial" w:eastAsia="Arial" w:hAnsi="Arial"/>
          <w:i/>
          <w:iCs/>
          <w:color w:val="5A5F66"/>
          <w:sz w:val="20"/>
          <w:szCs w:val="20"/>
        </w:rPr>
        <w:t xml:space="preserve">Sentinel read: liquidity is not the constraint; the constraint is leverage. The thin cash balance is a capital-allocation choice (cash directed to deleveraging), not a liquidity weakness, given the committed revolver and the size and stability of free cash flow.</w:t>
      </w:r>
    </w:p>
    <w:p>
      <w:pPr>
        <w:pStyle w:val="Heading1"/>
        <w:pBdr>
          <w:bottom w:val="single" w:color="B0862E" w:sz="6" w:space="3"/>
        </w:pBdr>
        <w:spacing w:after="140" w:before="260"/>
      </w:pPr>
      <w:r>
        <w:rPr>
          <w:rFonts w:ascii="Arial" w:cs="Arial" w:eastAsia="Arial" w:hAnsi="Arial"/>
          <w:b/>
          <w:bCs/>
          <w:color w:val="14223F"/>
          <w:sz w:val="26"/>
          <w:szCs w:val="26"/>
        </w:rPr>
        <w:t xml:space="preserve">2.  Capital structure &amp; debt-maturity profile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>The Hostess acquisition (Nov 2023) lifted total debt from $4.4B to a peak of $8.5B. </w:t>
      </w:r>
      <w:r>
        <w:rPr>
          <w:rFonts w:ascii="Arial" w:cs="Arial" w:eastAsia="Arial" w:hAnsi="Arial"/>
          <w:sz w:val="22"/>
          <w:szCs w:val="22"/>
        </w:rPr>
        <w:t xml:space="preserve">Two years of disciplined paydown have reduced it to $7.09B — roughly $1.46B repaid.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2340"/>
        <w:gridCol w:w="2340"/>
      </w:tblGrid>
      <w:tr>
        <w:trPr>
          <w:tblHeader/>
        </w:trPr>
        <w:tc>
          <w:tcPr>
            <w:tcW w:type="dxa" w:w="4680"/>
            <w:tcBorders>
              <w:top w:val="single" w:color="D9D2C2" w:sz="1"/>
              <w:left w:val="single" w:color="D9D2C2" w:sz="1"/>
              <w:bottom w:val="single" w:color="D9D2C2" w:sz="1"/>
              <w:right w:val="single" w:color="D9D2C2" w:sz="1"/>
            </w:tcBorders>
            <w:shd w:fill="14223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Capital structure (FY2026)</w:t>
            </w:r>
          </w:p>
        </w:tc>
        <w:tc>
          <w:tcPr>
            <w:tcW w:type="dxa" w:w="2340"/>
            <w:tcBorders>
              <w:top w:val="single" w:color="D9D2C2" w:sz="1"/>
              <w:left w:val="single" w:color="D9D2C2" w:sz="1"/>
              <w:bottom w:val="single" w:color="D9D2C2" w:sz="1"/>
              <w:right w:val="single" w:color="D9D2C2" w:sz="1"/>
            </w:tcBorders>
            <w:shd w:fill="14223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$M</w:t>
            </w:r>
          </w:p>
        </w:tc>
        <w:tc>
          <w:tcPr>
            <w:tcW w:type="dxa" w:w="2340"/>
            <w:tcBorders>
              <w:top w:val="single" w:color="D9D2C2" w:sz="1"/>
              <w:left w:val="single" w:color="D9D2C2" w:sz="1"/>
              <w:bottom w:val="single" w:color="D9D2C2" w:sz="1"/>
              <w:right w:val="single" w:color="D9D2C2" w:sz="1"/>
            </w:tcBorders>
            <w:shd w:fill="14223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% of debt</w:t>
            </w:r>
          </w:p>
        </w:tc>
      </w:tr>
      <w:tr>
        <w:tc>
          <w:tcPr>
            <w:tcW w:type="dxa" w:w="4680"/>
            <w:tcBorders>
              <w:top w:val="single" w:color="D9D2C2" w:sz="1"/>
              <w:left w:val="single" w:color="D9D2C2" w:sz="1"/>
              <w:bottom w:val="single" w:color="D9D2C2" w:sz="1"/>
              <w:right w:val="single" w:color="D9D2C2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Current portion of debt</w:t>
            </w:r>
          </w:p>
        </w:tc>
        <w:tc>
          <w:tcPr>
            <w:tcW w:type="dxa" w:w="2340"/>
            <w:tcBorders>
              <w:top w:val="single" w:color="D9D2C2" w:sz="1"/>
              <w:left w:val="single" w:color="D9D2C2" w:sz="1"/>
              <w:bottom w:val="single" w:color="D9D2C2" w:sz="1"/>
              <w:right w:val="single" w:color="D9D2C2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570.9</w:t>
            </w:r>
          </w:p>
        </w:tc>
        <w:tc>
          <w:tcPr>
            <w:tcW w:type="dxa" w:w="2340"/>
            <w:tcBorders>
              <w:top w:val="single" w:color="D9D2C2" w:sz="1"/>
              <w:left w:val="single" w:color="D9D2C2" w:sz="1"/>
              <w:bottom w:val="single" w:color="D9D2C2" w:sz="1"/>
              <w:right w:val="single" w:color="D9D2C2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8%</w:t>
            </w:r>
          </w:p>
        </w:tc>
      </w:tr>
      <w:tr>
        <w:tc>
          <w:tcPr>
            <w:tcW w:type="dxa" w:w="4680"/>
            <w:tcBorders>
              <w:top w:val="single" w:color="D9D2C2" w:sz="1"/>
              <w:left w:val="single" w:color="D9D2C2" w:sz="1"/>
              <w:bottom w:val="single" w:color="D9D2C2" w:sz="1"/>
              <w:right w:val="single" w:color="D9D2C2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Long-term notes &amp; term loan</w:t>
            </w:r>
          </w:p>
        </w:tc>
        <w:tc>
          <w:tcPr>
            <w:tcW w:type="dxa" w:w="2340"/>
            <w:tcBorders>
              <w:top w:val="single" w:color="D9D2C2" w:sz="1"/>
              <w:left w:val="single" w:color="D9D2C2" w:sz="1"/>
              <w:bottom w:val="single" w:color="D9D2C2" w:sz="1"/>
              <w:right w:val="single" w:color="D9D2C2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6,392.8</w:t>
            </w:r>
          </w:p>
        </w:tc>
        <w:tc>
          <w:tcPr>
            <w:tcW w:type="dxa" w:w="2340"/>
            <w:tcBorders>
              <w:top w:val="single" w:color="D9D2C2" w:sz="1"/>
              <w:left w:val="single" w:color="D9D2C2" w:sz="1"/>
              <w:bottom w:val="single" w:color="D9D2C2" w:sz="1"/>
              <w:right w:val="single" w:color="D9D2C2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90%</w:t>
            </w:r>
          </w:p>
        </w:tc>
      </w:tr>
      <w:tr>
        <w:tc>
          <w:tcPr>
            <w:tcW w:type="dxa" w:w="4680"/>
            <w:tcBorders>
              <w:top w:val="single" w:color="D9D2C2" w:sz="1"/>
              <w:left w:val="single" w:color="D9D2C2" w:sz="1"/>
              <w:bottom w:val="single" w:color="D9D2C2" w:sz="1"/>
              <w:right w:val="single" w:color="D9D2C2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Finance leases</w:t>
            </w:r>
          </w:p>
        </w:tc>
        <w:tc>
          <w:tcPr>
            <w:tcW w:type="dxa" w:w="2340"/>
            <w:tcBorders>
              <w:top w:val="single" w:color="D9D2C2" w:sz="1"/>
              <w:left w:val="single" w:color="D9D2C2" w:sz="1"/>
              <w:bottom w:val="single" w:color="D9D2C2" w:sz="1"/>
              <w:right w:val="single" w:color="D9D2C2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125.3</w:t>
            </w:r>
          </w:p>
        </w:tc>
        <w:tc>
          <w:tcPr>
            <w:tcW w:type="dxa" w:w="2340"/>
            <w:tcBorders>
              <w:top w:val="single" w:color="D9D2C2" w:sz="1"/>
              <w:left w:val="single" w:color="D9D2C2" w:sz="1"/>
              <w:bottom w:val="single" w:color="D9D2C2" w:sz="1"/>
              <w:right w:val="single" w:color="D9D2C2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2%</w:t>
            </w:r>
          </w:p>
        </w:tc>
      </w:tr>
      <w:tr>
        <w:tc>
          <w:tcPr>
            <w:tcW w:type="dxa" w:w="4680"/>
            <w:tcBorders>
              <w:top w:val="single" w:color="D9D2C2" w:sz="1"/>
              <w:left w:val="single" w:color="D9D2C2" w:sz="1"/>
              <w:bottom w:val="single" w:color="D9D2C2" w:sz="1"/>
              <w:right w:val="single" w:color="D9D2C2" w:sz="1"/>
            </w:tcBorders>
            <w:shd w:fill="F7F2E8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Total debt</w:t>
            </w:r>
          </w:p>
        </w:tc>
        <w:tc>
          <w:tcPr>
            <w:tcW w:type="dxa" w:w="2340"/>
            <w:tcBorders>
              <w:top w:val="single" w:color="D9D2C2" w:sz="1"/>
              <w:left w:val="single" w:color="D9D2C2" w:sz="1"/>
              <w:bottom w:val="single" w:color="D9D2C2" w:sz="1"/>
              <w:right w:val="single" w:color="D9D2C2" w:sz="1"/>
            </w:tcBorders>
            <w:shd w:fill="F7F2E8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4223F"/>
                <w:sz w:val="20"/>
                <w:szCs w:val="20"/>
              </w:rPr>
              <w:t xml:space="preserve">7,089.0</w:t>
            </w:r>
          </w:p>
        </w:tc>
        <w:tc>
          <w:tcPr>
            <w:tcW w:type="dxa" w:w="2340"/>
            <w:tcBorders>
              <w:top w:val="single" w:color="D9D2C2" w:sz="1"/>
              <w:left w:val="single" w:color="D9D2C2" w:sz="1"/>
              <w:bottom w:val="single" w:color="D9D2C2" w:sz="1"/>
              <w:right w:val="single" w:color="D9D2C2" w:sz="1"/>
            </w:tcBorders>
            <w:shd w:fill="F7F2E8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4223F"/>
                <w:sz w:val="20"/>
                <w:szCs w:val="20"/>
              </w:rPr>
              <w:t xml:space="preserve">100%</w:t>
            </w:r>
          </w:p>
        </w:tc>
      </w:tr>
      <w:tr>
        <w:tc>
          <w:tcPr>
            <w:tcW w:type="dxa" w:w="4680"/>
            <w:tcBorders>
              <w:top w:val="single" w:color="D9D2C2" w:sz="1"/>
              <w:left w:val="single" w:color="D9D2C2" w:sz="1"/>
              <w:bottom w:val="single" w:color="D9D2C2" w:sz="1"/>
              <w:right w:val="single" w:color="D9D2C2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Less: cash</w:t>
            </w:r>
          </w:p>
        </w:tc>
        <w:tc>
          <w:tcPr>
            <w:tcW w:type="dxa" w:w="2340"/>
            <w:tcBorders>
              <w:top w:val="single" w:color="D9D2C2" w:sz="1"/>
              <w:left w:val="single" w:color="D9D2C2" w:sz="1"/>
              <w:bottom w:val="single" w:color="D9D2C2" w:sz="1"/>
              <w:right w:val="single" w:color="D9D2C2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(58.6)</w:t>
            </w:r>
          </w:p>
        </w:tc>
        <w:tc>
          <w:tcPr>
            <w:tcW w:type="dxa" w:w="2340"/>
            <w:tcBorders>
              <w:top w:val="single" w:color="D9D2C2" w:sz="1"/>
              <w:left w:val="single" w:color="D9D2C2" w:sz="1"/>
              <w:bottom w:val="single" w:color="D9D2C2" w:sz="1"/>
              <w:right w:val="single" w:color="D9D2C2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—</w:t>
            </w:r>
          </w:p>
        </w:tc>
      </w:tr>
      <w:tr>
        <w:tc>
          <w:tcPr>
            <w:tcW w:type="dxa" w:w="4680"/>
            <w:tcBorders>
              <w:top w:val="single" w:color="D9D2C2" w:sz="1"/>
              <w:left w:val="single" w:color="D9D2C2" w:sz="1"/>
              <w:bottom w:val="single" w:color="D9D2C2" w:sz="1"/>
              <w:right w:val="single" w:color="D9D2C2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Net debt</w:t>
            </w:r>
          </w:p>
        </w:tc>
        <w:tc>
          <w:tcPr>
            <w:tcW w:type="dxa" w:w="2340"/>
            <w:tcBorders>
              <w:top w:val="single" w:color="D9D2C2" w:sz="1"/>
              <w:left w:val="single" w:color="D9D2C2" w:sz="1"/>
              <w:bottom w:val="single" w:color="D9D2C2" w:sz="1"/>
              <w:right w:val="single" w:color="D9D2C2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4223F"/>
                <w:sz w:val="20"/>
                <w:szCs w:val="20"/>
              </w:rPr>
              <w:t xml:space="preserve">7,030.4</w:t>
            </w:r>
          </w:p>
        </w:tc>
        <w:tc>
          <w:tcPr>
            <w:tcW w:type="dxa" w:w="2340"/>
            <w:tcBorders>
              <w:top w:val="single" w:color="D9D2C2" w:sz="1"/>
              <w:left w:val="single" w:color="D9D2C2" w:sz="1"/>
              <w:bottom w:val="single" w:color="D9D2C2" w:sz="1"/>
              <w:right w:val="single" w:color="D9D2C2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4223F"/>
                <w:sz w:val="20"/>
                <w:szCs w:val="20"/>
              </w:rPr>
              <w:t xml:space="preserve">—</w:t>
            </w:r>
          </w:p>
        </w:tc>
      </w:tr>
    </w:tbl>
    <w:p>
      <w:pPr>
        <w:spacing w:after="140" w:before="0"/>
      </w:pPr>
      <w:r>
        <w:rPr>
          <w:rFonts w:ascii="Arial" w:cs="Arial" w:eastAsia="Arial" w:hAnsi="Arial"/>
          <w:sz w:val="22"/>
          <w:szCs w:val="22"/>
        </w:rPr>
        <w:t xml:space="preserve">Maturity profile: the long-term stack is staggered across 2028–2053 senior-note maturities plus the acquisition term loan (per the FY2026 10-K debt footnote). Only ≈8% of debt is current, so there is no refinancing wall; the company retains investment-grade access to term out maturities opportunistically.</w:t>
      </w:r>
    </w:p>
    <w:p>
      <w:pPr>
        <w:pStyle w:val="Heading1"/>
        <w:pBdr>
          <w:bottom w:val="single" w:color="B0862E" w:sz="6" w:space="3"/>
        </w:pBdr>
        <w:spacing w:after="140" w:before="260"/>
      </w:pPr>
      <w:r>
        <w:rPr>
          <w:rFonts w:ascii="Arial" w:cs="Arial" w:eastAsia="Arial" w:hAnsi="Arial"/>
          <w:b/>
          <w:bCs/>
          <w:color w:val="14223F"/>
          <w:sz w:val="26"/>
          <w:szCs w:val="26"/>
        </w:rPr>
        <w:t xml:space="preserve">3.  Leverage &amp; coverage — the deleveraging trajectory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>Using adjusted EBITDA (≈$1.8B, normalizing out the non-cash Hostess impairments), net leverage has fallen from ≈5.0x at the FY2024 acquisition peak toward management’s ≈3.0x target. Cash coverage remains comfortably investment-grade.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2160"/>
        <w:gridCol w:w="2160"/>
        <w:gridCol w:w="2160"/>
      </w:tblGrid>
      <w:tr>
        <w:trPr>
          <w:tblHeader/>
        </w:trPr>
        <w:tc>
          <w:tcPr>
            <w:tcW w:type="dxa" w:w="2880"/>
            <w:tcBorders>
              <w:top w:val="single" w:color="D9D2C2" w:sz="1"/>
              <w:left w:val="single" w:color="D9D2C2" w:sz="1"/>
              <w:bottom w:val="single" w:color="D9D2C2" w:sz="1"/>
              <w:right w:val="single" w:color="D9D2C2" w:sz="1"/>
            </w:tcBorders>
            <w:shd w:fill="14223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Metric</w:t>
            </w:r>
          </w:p>
        </w:tc>
        <w:tc>
          <w:tcPr>
            <w:tcW w:type="dxa" w:w="2160"/>
            <w:tcBorders>
              <w:top w:val="single" w:color="D9D2C2" w:sz="1"/>
              <w:left w:val="single" w:color="D9D2C2" w:sz="1"/>
              <w:bottom w:val="single" w:color="D9D2C2" w:sz="1"/>
              <w:right w:val="single" w:color="D9D2C2" w:sz="1"/>
            </w:tcBorders>
            <w:shd w:fill="14223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FY2024</w:t>
            </w:r>
          </w:p>
        </w:tc>
        <w:tc>
          <w:tcPr>
            <w:tcW w:type="dxa" w:w="2160"/>
            <w:tcBorders>
              <w:top w:val="single" w:color="D9D2C2" w:sz="1"/>
              <w:left w:val="single" w:color="D9D2C2" w:sz="1"/>
              <w:bottom w:val="single" w:color="D9D2C2" w:sz="1"/>
              <w:right w:val="single" w:color="D9D2C2" w:sz="1"/>
            </w:tcBorders>
            <w:shd w:fill="14223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FY2025</w:t>
            </w:r>
          </w:p>
        </w:tc>
        <w:tc>
          <w:tcPr>
            <w:tcW w:type="dxa" w:w="2160"/>
            <w:tcBorders>
              <w:top w:val="single" w:color="D9D2C2" w:sz="1"/>
              <w:left w:val="single" w:color="D9D2C2" w:sz="1"/>
              <w:bottom w:val="single" w:color="D9D2C2" w:sz="1"/>
              <w:right w:val="single" w:color="D9D2C2" w:sz="1"/>
            </w:tcBorders>
            <w:shd w:fill="14223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FY2026</w:t>
            </w:r>
          </w:p>
        </w:tc>
      </w:tr>
      <w:tr>
        <w:tc>
          <w:tcPr>
            <w:tcW w:type="dxa" w:w="2880"/>
            <w:tcBorders>
              <w:top w:val="single" w:color="D9D2C2" w:sz="1"/>
              <w:left w:val="single" w:color="D9D2C2" w:sz="1"/>
              <w:bottom w:val="single" w:color="D9D2C2" w:sz="1"/>
              <w:right w:val="single" w:color="D9D2C2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Total debt ($B)</w:t>
            </w:r>
          </w:p>
        </w:tc>
        <w:tc>
          <w:tcPr>
            <w:tcW w:type="dxa" w:w="2160"/>
            <w:tcBorders>
              <w:top w:val="single" w:color="D9D2C2" w:sz="1"/>
              <w:left w:val="single" w:color="D9D2C2" w:sz="1"/>
              <w:bottom w:val="single" w:color="D9D2C2" w:sz="1"/>
              <w:right w:val="single" w:color="D9D2C2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8.55</w:t>
            </w:r>
          </w:p>
        </w:tc>
        <w:tc>
          <w:tcPr>
            <w:tcW w:type="dxa" w:w="2160"/>
            <w:tcBorders>
              <w:top w:val="single" w:color="D9D2C2" w:sz="1"/>
              <w:left w:val="single" w:color="D9D2C2" w:sz="1"/>
              <w:bottom w:val="single" w:color="D9D2C2" w:sz="1"/>
              <w:right w:val="single" w:color="D9D2C2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7.76</w:t>
            </w:r>
          </w:p>
        </w:tc>
        <w:tc>
          <w:tcPr>
            <w:tcW w:type="dxa" w:w="2160"/>
            <w:tcBorders>
              <w:top w:val="single" w:color="D9D2C2" w:sz="1"/>
              <w:left w:val="single" w:color="D9D2C2" w:sz="1"/>
              <w:bottom w:val="single" w:color="D9D2C2" w:sz="1"/>
              <w:right w:val="single" w:color="D9D2C2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7.09</w:t>
            </w:r>
          </w:p>
        </w:tc>
      </w:tr>
      <w:tr>
        <w:tc>
          <w:tcPr>
            <w:tcW w:type="dxa" w:w="2880"/>
            <w:tcBorders>
              <w:top w:val="single" w:color="D9D2C2" w:sz="1"/>
              <w:left w:val="single" w:color="D9D2C2" w:sz="1"/>
              <w:bottom w:val="single" w:color="D9D2C2" w:sz="1"/>
              <w:right w:val="single" w:color="D9D2C2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Net debt ($B)</w:t>
            </w:r>
          </w:p>
        </w:tc>
        <w:tc>
          <w:tcPr>
            <w:tcW w:type="dxa" w:w="2160"/>
            <w:tcBorders>
              <w:top w:val="single" w:color="D9D2C2" w:sz="1"/>
              <w:left w:val="single" w:color="D9D2C2" w:sz="1"/>
              <w:bottom w:val="single" w:color="D9D2C2" w:sz="1"/>
              <w:right w:val="single" w:color="D9D2C2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8.49</w:t>
            </w:r>
          </w:p>
        </w:tc>
        <w:tc>
          <w:tcPr>
            <w:tcW w:type="dxa" w:w="2160"/>
            <w:tcBorders>
              <w:top w:val="single" w:color="D9D2C2" w:sz="1"/>
              <w:left w:val="single" w:color="D9D2C2" w:sz="1"/>
              <w:bottom w:val="single" w:color="D9D2C2" w:sz="1"/>
              <w:right w:val="single" w:color="D9D2C2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7.69</w:t>
            </w:r>
          </w:p>
        </w:tc>
        <w:tc>
          <w:tcPr>
            <w:tcW w:type="dxa" w:w="2160"/>
            <w:tcBorders>
              <w:top w:val="single" w:color="D9D2C2" w:sz="1"/>
              <w:left w:val="single" w:color="D9D2C2" w:sz="1"/>
              <w:bottom w:val="single" w:color="D9D2C2" w:sz="1"/>
              <w:right w:val="single" w:color="D9D2C2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7.03</w:t>
            </w:r>
          </w:p>
        </w:tc>
      </w:tr>
      <w:tr>
        <w:tc>
          <w:tcPr>
            <w:tcW w:type="dxa" w:w="2880"/>
            <w:tcBorders>
              <w:top w:val="single" w:color="D9D2C2" w:sz="1"/>
              <w:left w:val="single" w:color="D9D2C2" w:sz="1"/>
              <w:bottom w:val="single" w:color="D9D2C2" w:sz="1"/>
              <w:right w:val="single" w:color="D9D2C2" w:sz="1"/>
            </w:tcBorders>
            <w:shd w:fill="F7F2E8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Net debt / adj. EBITDA</w:t>
            </w:r>
          </w:p>
        </w:tc>
        <w:tc>
          <w:tcPr>
            <w:tcW w:type="dxa" w:w="2160"/>
            <w:tcBorders>
              <w:top w:val="single" w:color="D9D2C2" w:sz="1"/>
              <w:left w:val="single" w:color="D9D2C2" w:sz="1"/>
              <w:bottom w:val="single" w:color="D9D2C2" w:sz="1"/>
              <w:right w:val="single" w:color="D9D2C2" w:sz="1"/>
            </w:tcBorders>
            <w:shd w:fill="F7F2E8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4223F"/>
                <w:sz w:val="20"/>
                <w:szCs w:val="20"/>
              </w:rPr>
              <w:t xml:space="preserve">≈5.0x</w:t>
            </w:r>
          </w:p>
        </w:tc>
        <w:tc>
          <w:tcPr>
            <w:tcW w:type="dxa" w:w="2160"/>
            <w:tcBorders>
              <w:top w:val="single" w:color="D9D2C2" w:sz="1"/>
              <w:left w:val="single" w:color="D9D2C2" w:sz="1"/>
              <w:bottom w:val="single" w:color="D9D2C2" w:sz="1"/>
              <w:right w:val="single" w:color="D9D2C2" w:sz="1"/>
            </w:tcBorders>
            <w:shd w:fill="F7F2E8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4223F"/>
                <w:sz w:val="20"/>
                <w:szCs w:val="20"/>
              </w:rPr>
              <w:t xml:space="preserve">≈4.3x</w:t>
            </w:r>
          </w:p>
        </w:tc>
        <w:tc>
          <w:tcPr>
            <w:tcW w:type="dxa" w:w="2160"/>
            <w:tcBorders>
              <w:top w:val="single" w:color="D9D2C2" w:sz="1"/>
              <w:left w:val="single" w:color="D9D2C2" w:sz="1"/>
              <w:bottom w:val="single" w:color="D9D2C2" w:sz="1"/>
              <w:right w:val="single" w:color="D9D2C2" w:sz="1"/>
            </w:tcBorders>
            <w:shd w:fill="F7F2E8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4223F"/>
                <w:sz w:val="20"/>
                <w:szCs w:val="20"/>
              </w:rPr>
              <w:t xml:space="preserve">≈3.9x</w:t>
            </w:r>
          </w:p>
        </w:tc>
      </w:tr>
      <w:tr>
        <w:tc>
          <w:tcPr>
            <w:tcW w:type="dxa" w:w="2880"/>
            <w:tcBorders>
              <w:top w:val="single" w:color="D9D2C2" w:sz="1"/>
              <w:left w:val="single" w:color="D9D2C2" w:sz="1"/>
              <w:bottom w:val="single" w:color="D9D2C2" w:sz="1"/>
              <w:right w:val="single" w:color="D9D2C2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Adj. EBITDA / interest</w:t>
            </w:r>
          </w:p>
        </w:tc>
        <w:tc>
          <w:tcPr>
            <w:tcW w:type="dxa" w:w="2160"/>
            <w:tcBorders>
              <w:top w:val="single" w:color="D9D2C2" w:sz="1"/>
              <w:left w:val="single" w:color="D9D2C2" w:sz="1"/>
              <w:bottom w:val="single" w:color="D9D2C2" w:sz="1"/>
              <w:right w:val="single" w:color="D9D2C2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≈6.7x</w:t>
            </w:r>
          </w:p>
        </w:tc>
        <w:tc>
          <w:tcPr>
            <w:tcW w:type="dxa" w:w="2160"/>
            <w:tcBorders>
              <w:top w:val="single" w:color="D9D2C2" w:sz="1"/>
              <w:left w:val="single" w:color="D9D2C2" w:sz="1"/>
              <w:bottom w:val="single" w:color="D9D2C2" w:sz="1"/>
              <w:right w:val="single" w:color="D9D2C2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≈5.0x</w:t>
            </w:r>
          </w:p>
        </w:tc>
        <w:tc>
          <w:tcPr>
            <w:tcW w:type="dxa" w:w="2160"/>
            <w:tcBorders>
              <w:top w:val="single" w:color="D9D2C2" w:sz="1"/>
              <w:left w:val="single" w:color="D9D2C2" w:sz="1"/>
              <w:bottom w:val="single" w:color="D9D2C2" w:sz="1"/>
              <w:right w:val="single" w:color="D9D2C2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≈4.7x</w:t>
            </w:r>
          </w:p>
        </w:tc>
      </w:tr>
      <w:tr>
        <w:tc>
          <w:tcPr>
            <w:tcW w:type="dxa" w:w="2880"/>
            <w:tcBorders>
              <w:top w:val="single" w:color="D9D2C2" w:sz="1"/>
              <w:left w:val="single" w:color="D9D2C2" w:sz="1"/>
              <w:bottom w:val="single" w:color="D9D2C2" w:sz="1"/>
              <w:right w:val="single" w:color="D9D2C2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Free cash flow ($B)</w:t>
            </w:r>
          </w:p>
        </w:tc>
        <w:tc>
          <w:tcPr>
            <w:tcW w:type="dxa" w:w="2160"/>
            <w:tcBorders>
              <w:top w:val="single" w:color="D9D2C2" w:sz="1"/>
              <w:left w:val="single" w:color="D9D2C2" w:sz="1"/>
              <w:bottom w:val="single" w:color="D9D2C2" w:sz="1"/>
              <w:right w:val="single" w:color="D9D2C2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0.64</w:t>
            </w:r>
          </w:p>
        </w:tc>
        <w:tc>
          <w:tcPr>
            <w:tcW w:type="dxa" w:w="2160"/>
            <w:tcBorders>
              <w:top w:val="single" w:color="D9D2C2" w:sz="1"/>
              <w:left w:val="single" w:color="D9D2C2" w:sz="1"/>
              <w:bottom w:val="single" w:color="D9D2C2" w:sz="1"/>
              <w:right w:val="single" w:color="D9D2C2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0.82</w:t>
            </w:r>
          </w:p>
        </w:tc>
        <w:tc>
          <w:tcPr>
            <w:tcW w:type="dxa" w:w="2160"/>
            <w:tcBorders>
              <w:top w:val="single" w:color="D9D2C2" w:sz="1"/>
              <w:left w:val="single" w:color="D9D2C2" w:sz="1"/>
              <w:bottom w:val="single" w:color="D9D2C2" w:sz="1"/>
              <w:right w:val="single" w:color="D9D2C2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1.16</w:t>
            </w:r>
          </w:p>
        </w:tc>
      </w:tr>
    </w:tbl>
    <w:p>
      <w:pPr>
        <w:spacing w:after="140" w:before="0"/>
      </w:pPr>
      <w:r>
        <w:rPr>
          <w:rFonts w:ascii="Arial" w:cs="Arial" w:eastAsia="Arial" w:hAnsi="Arial"/>
          <w:b/>
          <w:bCs/>
          <w:color w:val="14223F"/>
          <w:sz w:val="22"/>
          <w:szCs w:val="22"/>
        </w:rPr>
        <w:t xml:space="preserve">GAAP vs cash — the key call. </w:t>
      </w:r>
      <w:r>
        <w:rPr>
          <w:rFonts w:ascii="Arial" w:cs="Arial" w:eastAsia="Arial" w:hAnsi="Arial"/>
          <w:sz w:val="22"/>
          <w:szCs w:val="22"/>
        </w:rPr>
        <w:t xml:space="preserve">FY2025 reported a net loss of $1.23B, driven almost entirely by a non-cash impairment of Hostess/Sweet Baked Snacks goodwill and intangibles. Free cash flow that same year was a positive ≈$0.82B and has since grown to ≈$1.16B. A treasury or credit reader who anchors on GAAP net income mis-reads the credit; the cash reality is a steadily deleveraging investment-grade issuer.</w:t>
      </w:r>
    </w:p>
    <w:p>
      <w:pPr>
        <w:pStyle w:val="Heading1"/>
        <w:pBdr>
          <w:bottom w:val="single" w:color="B0862E" w:sz="6" w:space="3"/>
        </w:pBdr>
        <w:spacing w:after="140" w:before="260"/>
      </w:pPr>
      <w:r>
        <w:rPr>
          <w:rFonts w:ascii="Arial" w:cs="Arial" w:eastAsia="Arial" w:hAnsi="Arial"/>
          <w:b/>
          <w:bCs/>
          <w:color w:val="14223F"/>
          <w:sz w:val="26"/>
          <w:szCs w:val="26"/>
        </w:rPr>
        <w:t xml:space="preserve">4.  Covenant headroom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>Smucker’s investment-grade bank facility carries a maximum net-leverage covenant (illustratively ≈4.25–4.50x for this tier). At ≈3.9x, headroom is roughly 0.4–0.6x of EBITDA — adequate but not generous, and the single most important number for the treasury team to protect. Coverage and interest-cost covenants are not binding.</w:t>
      </w:r>
    </w:p>
    <w:p>
      <w:pPr>
        <w:spacing w:after="140" w:before="0"/>
      </w:pPr>
      <w:r>
        <w:rPr>
          <w:rFonts w:ascii="Arial" w:cs="Arial" w:eastAsia="Arial" w:hAnsi="Arial"/>
          <w:b/>
          <w:bCs/>
          <w:color w:val="14223F"/>
          <w:sz w:val="22"/>
          <w:szCs w:val="22"/>
        </w:rPr>
        <w:t xml:space="preserve">Watch item: </w:t>
      </w:r>
      <w:r>
        <w:rPr>
          <w:rFonts w:ascii="Arial" w:cs="Arial" w:eastAsia="Arial" w:hAnsi="Arial"/>
          <w:sz w:val="22"/>
          <w:szCs w:val="22"/>
        </w:rPr>
        <w:t xml:space="preserve">a second Hostess-segment impairment would be non-cash and would not move the leverage covenant (which is EBITDA-based), but it would further erode the book-equity cushion and could draw negative agency commentary.</w:t>
      </w:r>
    </w:p>
    <w:p>
      <w:pPr>
        <w:pStyle w:val="Heading1"/>
        <w:pBdr>
          <w:bottom w:val="single" w:color="B0862E" w:sz="6" w:space="3"/>
        </w:pBdr>
        <w:spacing w:after="140" w:before="260"/>
      </w:pPr>
      <w:r>
        <w:rPr>
          <w:rFonts w:ascii="Arial" w:cs="Arial" w:eastAsia="Arial" w:hAnsi="Arial"/>
          <w:b/>
          <w:bCs/>
          <w:color w:val="14223F"/>
          <w:sz w:val="26"/>
          <w:szCs w:val="26"/>
        </w:rPr>
        <w:t xml:space="preserve">5.  Financing capacity — how much debt before a downgrade?</w:t>
      </w:r>
    </w:p>
    <w:p>
      <w:p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>The core self-assessment question. At the BBB / Baa2 tier the agencies tolerate roughly 3.5–4.0x net leverage for a stable staples issuer with Smucker’s scale and cash flow. With adjusted EBITDA near $1.8B, each 0.1x of leverage is ≈$180M of debt. Current position ≈3.9x.</w:t>
      </w:r>
    </w:p>
    <w:p>
      <w:pPr>
        <w:spacing w:after="60" w:before="40"/>
        <w:jc w:val="center"/>
      </w:pPr>
      <w:r>
        <w:drawing>
          <wp:inline distT="0" distB="0" distL="0" distR="0">
            <wp:extent cx="5715000" cy="1447800"/>
            <wp:effectExtent t="0" r="0" b="0" l="0"/>
            <wp:docPr id="1" name="meter" descr="Net-leverage gauge" title="Financing Capacity Me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2340"/>
        <w:gridCol w:w="2340"/>
      </w:tblGrid>
      <w:tr>
        <w:trPr>
          <w:tblHeader/>
        </w:trPr>
        <w:tc>
          <w:tcPr>
            <w:tcW w:type="dxa" w:w="4680"/>
            <w:tcBorders>
              <w:top w:val="single" w:color="D9D2C2" w:sz="1"/>
              <w:left w:val="single" w:color="D9D2C2" w:sz="1"/>
              <w:bottom w:val="single" w:color="D9D2C2" w:sz="1"/>
              <w:right w:val="single" w:color="D9D2C2" w:sz="1"/>
            </w:tcBorders>
            <w:shd w:fill="14223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Scenario</w:t>
            </w:r>
          </w:p>
        </w:tc>
        <w:tc>
          <w:tcPr>
            <w:tcW w:type="dxa" w:w="2340"/>
            <w:tcBorders>
              <w:top w:val="single" w:color="D9D2C2" w:sz="1"/>
              <w:left w:val="single" w:color="D9D2C2" w:sz="1"/>
              <w:bottom w:val="single" w:color="D9D2C2" w:sz="1"/>
              <w:right w:val="single" w:color="D9D2C2" w:sz="1"/>
            </w:tcBorders>
            <w:shd w:fill="14223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Net leverage</w:t>
            </w:r>
          </w:p>
        </w:tc>
        <w:tc>
          <w:tcPr>
            <w:tcW w:type="dxa" w:w="2340"/>
            <w:tcBorders>
              <w:top w:val="single" w:color="D9D2C2" w:sz="1"/>
              <w:left w:val="single" w:color="D9D2C2" w:sz="1"/>
              <w:bottom w:val="single" w:color="D9D2C2" w:sz="1"/>
              <w:right w:val="single" w:color="D9D2C2" w:sz="1"/>
            </w:tcBorders>
            <w:shd w:fill="14223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Incremental debt room</w:t>
            </w:r>
          </w:p>
        </w:tc>
      </w:tr>
      <w:tr>
        <w:tc>
          <w:tcPr>
            <w:tcW w:type="dxa" w:w="4680"/>
            <w:tcBorders>
              <w:top w:val="single" w:color="D9D2C2" w:sz="1"/>
              <w:left w:val="single" w:color="D9D2C2" w:sz="1"/>
              <w:bottom w:val="single" w:color="D9D2C2" w:sz="1"/>
              <w:right w:val="single" w:color="D9D2C2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Hold at agency comfort ceiling (≈4.0x)</w:t>
            </w:r>
          </w:p>
        </w:tc>
        <w:tc>
          <w:tcPr>
            <w:tcW w:type="dxa" w:w="2340"/>
            <w:tcBorders>
              <w:top w:val="single" w:color="D9D2C2" w:sz="1"/>
              <w:left w:val="single" w:color="D9D2C2" w:sz="1"/>
              <w:bottom w:val="single" w:color="D9D2C2" w:sz="1"/>
              <w:right w:val="single" w:color="D9D2C2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4.0x</w:t>
            </w:r>
          </w:p>
        </w:tc>
        <w:tc>
          <w:tcPr>
            <w:tcW w:type="dxa" w:w="2340"/>
            <w:tcBorders>
              <w:top w:val="single" w:color="D9D2C2" w:sz="1"/>
              <w:left w:val="single" w:color="D9D2C2" w:sz="1"/>
              <w:bottom w:val="single" w:color="D9D2C2" w:sz="1"/>
              <w:right w:val="single" w:color="D9D2C2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≈$0.2B</w:t>
            </w:r>
          </w:p>
        </w:tc>
      </w:tr>
      <w:tr>
        <w:tc>
          <w:tcPr>
            <w:tcW w:type="dxa" w:w="4680"/>
            <w:tcBorders>
              <w:top w:val="single" w:color="D9D2C2" w:sz="1"/>
              <w:left w:val="single" w:color="D9D2C2" w:sz="1"/>
              <w:bottom w:val="single" w:color="D9D2C2" w:sz="1"/>
              <w:right w:val="single" w:color="D9D2C2" w:sz="1"/>
            </w:tcBorders>
            <w:shd w:fill="F7F2E8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Reach downgrade-watch (≈4.25x)</w:t>
            </w:r>
          </w:p>
        </w:tc>
        <w:tc>
          <w:tcPr>
            <w:tcW w:type="dxa" w:w="2340"/>
            <w:tcBorders>
              <w:top w:val="single" w:color="D9D2C2" w:sz="1"/>
              <w:left w:val="single" w:color="D9D2C2" w:sz="1"/>
              <w:bottom w:val="single" w:color="D9D2C2" w:sz="1"/>
              <w:right w:val="single" w:color="D9D2C2" w:sz="1"/>
            </w:tcBorders>
            <w:shd w:fill="F7F2E8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4.25x</w:t>
            </w:r>
          </w:p>
        </w:tc>
        <w:tc>
          <w:tcPr>
            <w:tcW w:type="dxa" w:w="2340"/>
            <w:tcBorders>
              <w:top w:val="single" w:color="D9D2C2" w:sz="1"/>
              <w:left w:val="single" w:color="D9D2C2" w:sz="1"/>
              <w:bottom w:val="single" w:color="D9D2C2" w:sz="1"/>
              <w:right w:val="single" w:color="D9D2C2" w:sz="1"/>
            </w:tcBorders>
            <w:shd w:fill="F7F2E8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≈$0.6B</w:t>
            </w:r>
          </w:p>
        </w:tc>
      </w:tr>
      <w:tr>
        <w:tc>
          <w:tcPr>
            <w:tcW w:type="dxa" w:w="4680"/>
            <w:tcBorders>
              <w:top w:val="single" w:color="D9D2C2" w:sz="1"/>
              <w:left w:val="single" w:color="D9D2C2" w:sz="1"/>
              <w:bottom w:val="single" w:color="D9D2C2" w:sz="1"/>
              <w:right w:val="single" w:color="D9D2C2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Deleverage to target first (≈3.2x)</w:t>
            </w:r>
          </w:p>
        </w:tc>
        <w:tc>
          <w:tcPr>
            <w:tcW w:type="dxa" w:w="2340"/>
            <w:tcBorders>
              <w:top w:val="single" w:color="D9D2C2" w:sz="1"/>
              <w:left w:val="single" w:color="D9D2C2" w:sz="1"/>
              <w:bottom w:val="single" w:color="D9D2C2" w:sz="1"/>
              <w:right w:val="single" w:color="D9D2C2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4223F"/>
                <w:sz w:val="20"/>
                <w:szCs w:val="20"/>
              </w:rPr>
              <w:t xml:space="preserve">3.2x</w:t>
            </w:r>
          </w:p>
        </w:tc>
        <w:tc>
          <w:tcPr>
            <w:tcW w:type="dxa" w:w="2340"/>
            <w:tcBorders>
              <w:top w:val="single" w:color="D9D2C2" w:sz="1"/>
              <w:left w:val="single" w:color="D9D2C2" w:sz="1"/>
              <w:bottom w:val="single" w:color="D9D2C2" w:sz="1"/>
              <w:right w:val="single" w:color="D9D2C2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4223F"/>
                <w:sz w:val="20"/>
                <w:szCs w:val="20"/>
              </w:rPr>
              <w:t xml:space="preserve">Capacity expands materially</w:t>
            </w:r>
          </w:p>
        </w:tc>
      </w:tr>
    </w:tbl>
    <w:p>
      <w:pPr>
        <w:spacing w:after="140" w:before="0"/>
      </w:pPr>
      <w:r>
        <w:rPr>
          <w:rFonts w:ascii="Arial" w:cs="Arial" w:eastAsia="Arial" w:hAnsi="Arial"/>
          <w:sz w:val="22"/>
          <w:szCs w:val="22"/>
        </w:rPr>
        <w:t xml:space="preserve">Implication: </w:t>
      </w:r>
      <w:r>
        <w:rPr>
          <w:rFonts w:ascii="Arial" w:cs="Arial" w:eastAsia="Arial" w:hAnsi="Arial"/>
          <w:sz w:val="22"/>
          <w:szCs w:val="22"/>
        </w:rPr>
        <w:t xml:space="preserve">a bolt-on acquisition of up to ≈$0.5B is absorbable today within the rating; a large debt-funded deal is not, without equity or a deleveraging pause that the agencies would penalize. Capacity is set to widen automatically as free cash flow retires debt and EBITDA normalizes — the disciplined path is to deleverage first, then re-arm capacity.</w:t>
      </w:r>
    </w:p>
    <w:p>
      <w:pPr>
        <w:pStyle w:val="Heading1"/>
        <w:pBdr>
          <w:bottom w:val="single" w:color="B0862E" w:sz="6" w:space="3"/>
        </w:pBdr>
        <w:spacing w:after="140" w:before="260"/>
      </w:pPr>
      <w:r>
        <w:rPr>
          <w:rFonts w:ascii="Arial" w:cs="Arial" w:eastAsia="Arial" w:hAnsi="Arial"/>
          <w:b/>
          <w:bCs/>
          <w:color w:val="14223F"/>
          <w:sz w:val="26"/>
          <w:szCs w:val="26"/>
        </w:rPr>
        <w:t xml:space="preserve">6.  Working-capital efficiency</w:t>
      </w:r>
    </w:p>
    <w:p>
      <w:pPr>
        <w:spacing w:after="140" w:before="0"/>
      </w:pPr>
      <w:r>
        <w:rPr>
          <w:rFonts w:ascii="Arial" w:cs="Arial" w:eastAsia="Arial" w:hAnsi="Arial"/>
          <w:sz w:val="22"/>
          <w:szCs w:val="22"/>
        </w:rPr>
        <w:t xml:space="preserve">Smucker’s cash conversion cycle is a lean ≈24 days (DSO ≈27, DIO ≈68, DPO ≈71) — efficient for packaged foods. There is modest incremental headroom: a strategic supplier-finance / payables program could extend DPO and release one-time cash to accelerate deleveraging without touching the income statement. Sentinel’s Working-Capital Optimization module sizes this opportunity precisely; even a conservative program could free several hundred million dollars of additional debt-paydown capacity.</w:t>
      </w:r>
    </w:p>
    <w:p>
      <w:pPr>
        <w:pStyle w:val="Heading1"/>
        <w:pBdr>
          <w:bottom w:val="single" w:color="B0862E" w:sz="6" w:space="3"/>
        </w:pBdr>
        <w:spacing w:after="140" w:before="260"/>
      </w:pPr>
      <w:r>
        <w:rPr>
          <w:rFonts w:ascii="Arial" w:cs="Arial" w:eastAsia="Arial" w:hAnsi="Arial"/>
          <w:b/>
          <w:bCs/>
          <w:color w:val="14223F"/>
          <w:sz w:val="26"/>
          <w:szCs w:val="26"/>
        </w:rPr>
        <w:t xml:space="preserve">7.  Rating trajectory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2400"/>
        <w:gridCol w:w="4560"/>
      </w:tblGrid>
      <w:tr>
        <w:trPr>
          <w:tblHeader/>
        </w:trPr>
        <w:tc>
          <w:tcPr>
            <w:tcW w:type="dxa" w:w="2400"/>
            <w:tcBorders>
              <w:top w:val="single" w:color="D9D2C2" w:sz="1"/>
              <w:left w:val="single" w:color="D9D2C2" w:sz="1"/>
              <w:bottom w:val="single" w:color="D9D2C2" w:sz="1"/>
              <w:right w:val="single" w:color="D9D2C2" w:sz="1"/>
            </w:tcBorders>
            <w:shd w:fill="14223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Scenario</w:t>
            </w:r>
          </w:p>
        </w:tc>
        <w:tc>
          <w:tcPr>
            <w:tcW w:type="dxa" w:w="2400"/>
            <w:tcBorders>
              <w:top w:val="single" w:color="D9D2C2" w:sz="1"/>
              <w:left w:val="single" w:color="D9D2C2" w:sz="1"/>
              <w:bottom w:val="single" w:color="D9D2C2" w:sz="1"/>
              <w:right w:val="single" w:color="D9D2C2" w:sz="1"/>
            </w:tcBorders>
            <w:shd w:fill="14223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Sentinel read</w:t>
            </w:r>
          </w:p>
        </w:tc>
        <w:tc>
          <w:tcPr>
            <w:tcW w:type="dxa" w:w="4560"/>
            <w:tcBorders>
              <w:top w:val="single" w:color="D9D2C2" w:sz="1"/>
              <w:left w:val="single" w:color="D9D2C2" w:sz="1"/>
              <w:bottom w:val="single" w:color="D9D2C2" w:sz="1"/>
              <w:right w:val="single" w:color="D9D2C2" w:sz="1"/>
            </w:tcBorders>
            <w:shd w:fill="14223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Path</w:t>
            </w:r>
          </w:p>
        </w:tc>
      </w:tr>
      <w:tr>
        <w:tc>
          <w:tcPr>
            <w:tcW w:type="dxa" w:w="2400"/>
            <w:tcBorders>
              <w:top w:val="single" w:color="D9D2C2" w:sz="1"/>
              <w:left w:val="single" w:color="D9D2C2" w:sz="1"/>
              <w:bottom w:val="single" w:color="D9D2C2" w:sz="1"/>
              <w:right w:val="single" w:color="D9D2C2" w:sz="1"/>
            </w:tcBorders>
            <w:shd w:fill="F7F2E8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Base</w:t>
            </w:r>
          </w:p>
        </w:tc>
        <w:tc>
          <w:tcPr>
            <w:tcW w:type="dxa" w:w="2400"/>
            <w:tcBorders>
              <w:top w:val="single" w:color="D9D2C2" w:sz="1"/>
              <w:left w:val="single" w:color="D9D2C2" w:sz="1"/>
              <w:bottom w:val="single" w:color="D9D2C2" w:sz="1"/>
              <w:right w:val="single" w:color="D9D2C2" w:sz="1"/>
            </w:tcBorders>
            <w:shd w:fill="F7F2E8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BBB / Baa2 (stable)</w:t>
            </w:r>
          </w:p>
        </w:tc>
        <w:tc>
          <w:tcPr>
            <w:tcW w:type="dxa" w:w="4560"/>
            <w:tcBorders>
              <w:top w:val="single" w:color="D9D2C2" w:sz="1"/>
              <w:left w:val="single" w:color="D9D2C2" w:sz="1"/>
              <w:bottom w:val="single" w:color="D9D2C2" w:sz="1"/>
              <w:right w:val="single" w:color="D9D2C2" w:sz="1"/>
            </w:tcBorders>
            <w:shd w:fill="F7F2E8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Continued FCF-funded paydown; net leverage ≈3.9x – ≈3.2x within 18–24 months; dividend held, buybacks restrained.</w:t>
            </w:r>
          </w:p>
        </w:tc>
      </w:tr>
      <w:tr>
        <w:tc>
          <w:tcPr>
            <w:tcW w:type="dxa" w:w="2400"/>
            <w:tcBorders>
              <w:top w:val="single" w:color="D9D2C2" w:sz="1"/>
              <w:left w:val="single" w:color="D9D2C2" w:sz="1"/>
              <w:bottom w:val="single" w:color="D9D2C2" w:sz="1"/>
              <w:right w:val="single" w:color="D9D2C2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Upside</w:t>
            </w:r>
          </w:p>
        </w:tc>
        <w:tc>
          <w:tcPr>
            <w:tcW w:type="dxa" w:w="2400"/>
            <w:tcBorders>
              <w:top w:val="single" w:color="D9D2C2" w:sz="1"/>
              <w:left w:val="single" w:color="D9D2C2" w:sz="1"/>
              <w:bottom w:val="single" w:color="D9D2C2" w:sz="1"/>
              <w:right w:val="single" w:color="D9D2C2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Positive outlook</w:t>
            </w:r>
          </w:p>
        </w:tc>
        <w:tc>
          <w:tcPr>
            <w:tcW w:type="dxa" w:w="4560"/>
            <w:tcBorders>
              <w:top w:val="single" w:color="D9D2C2" w:sz="1"/>
              <w:left w:val="single" w:color="D9D2C2" w:sz="1"/>
              <w:bottom w:val="single" w:color="D9D2C2" w:sz="1"/>
              <w:right w:val="single" w:color="D9D2C2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EBITDA normalization + sustained sub-3.2x leverage; coffee/pet strength offsets Sweet Baked Snacks; re-opens M&amp;A capacity.</w:t>
            </w:r>
          </w:p>
        </w:tc>
      </w:tr>
      <w:tr>
        <w:tc>
          <w:tcPr>
            <w:tcW w:type="dxa" w:w="2400"/>
            <w:tcBorders>
              <w:top w:val="single" w:color="D9D2C2" w:sz="1"/>
              <w:left w:val="single" w:color="D9D2C2" w:sz="1"/>
              <w:bottom w:val="single" w:color="D9D2C2" w:sz="1"/>
              <w:right w:val="single" w:color="D9D2C2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Downside</w:t>
            </w:r>
          </w:p>
        </w:tc>
        <w:tc>
          <w:tcPr>
            <w:tcW w:type="dxa" w:w="2400"/>
            <w:tcBorders>
              <w:top w:val="single" w:color="D9D2C2" w:sz="1"/>
              <w:left w:val="single" w:color="D9D2C2" w:sz="1"/>
              <w:bottom w:val="single" w:color="D9D2C2" w:sz="1"/>
              <w:right w:val="single" w:color="D9D2C2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Negative outlook</w:t>
            </w:r>
          </w:p>
        </w:tc>
        <w:tc>
          <w:tcPr>
            <w:tcW w:type="dxa" w:w="4560"/>
            <w:tcBorders>
              <w:top w:val="single" w:color="D9D2C2" w:sz="1"/>
              <w:left w:val="single" w:color="D9D2C2" w:sz="1"/>
              <w:bottom w:val="single" w:color="D9D2C2" w:sz="1"/>
              <w:right w:val="single" w:color="D9D2C2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Debt-funded M&amp;A or a demand shock pushes leverage back above ≈4.25x; a second large impairment compounds the optics.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Style w:val="Heading1"/>
        <w:pBdr>
          <w:bottom w:val="single" w:color="B0862E" w:sz="6" w:space="3"/>
        </w:pBdr>
        <w:spacing w:after="140" w:before="260"/>
      </w:pPr>
      <w:r>
        <w:rPr>
          <w:rFonts w:ascii="Arial" w:cs="Arial" w:eastAsia="Arial" w:hAnsi="Arial"/>
          <w:b/>
          <w:bCs/>
          <w:color w:val="14223F"/>
          <w:sz w:val="26"/>
          <w:szCs w:val="26"/>
        </w:rPr>
        <w:t xml:space="preserve">8.  Treasury recommendations</w:t>
      </w:r>
    </w:p>
    <w:p>
      <w:pPr>
        <w:pStyle w:val="ListParagraph"/>
        <w:numPr>
          <w:ilvl w:val="0"/>
          <w:numId w:val="2"/>
        </w:numPr>
        <w:spacing w:after="11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Prioritize deleveraging. </w:t>
      </w:r>
      <w:r>
        <w:rPr>
          <w:rFonts w:ascii="Arial" w:cs="Arial" w:eastAsia="Arial" w:hAnsi="Arial"/>
          <w:sz w:val="22"/>
          <w:szCs w:val="22"/>
        </w:rPr>
        <w:t xml:space="preserve"> Direct free cash flow to debt paydown until net leverage falls below ≈3.2x; hold large buybacks until then. Deleveraging is the binding priority and the cheapest way to re-arm financing capacity.</w:t>
      </w:r>
    </w:p>
    <w:p>
      <w:pPr>
        <w:pStyle w:val="ListParagraph"/>
        <w:numPr>
          <w:ilvl w:val="0"/>
          <w:numId w:val="2"/>
        </w:numPr>
        <w:spacing w:after="11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Hold the dividend. </w:t>
      </w:r>
      <w:r>
        <w:rPr>
          <w:rFonts w:ascii="Arial" w:cs="Arial" w:eastAsia="Arial" w:hAnsi="Arial"/>
          <w:sz w:val="22"/>
          <w:szCs w:val="22"/>
        </w:rPr>
        <w:t xml:space="preserve"> The dividend is covered ≈2.5x by free cash flow and is not the constraint — protect it; it is a credibility signal to both equity and credit investors.</w:t>
      </w:r>
    </w:p>
    <w:p>
      <w:pPr>
        <w:pStyle w:val="ListParagraph"/>
        <w:numPr>
          <w:ilvl w:val="0"/>
          <w:numId w:val="2"/>
        </w:numPr>
        <w:spacing w:after="11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Manage the maturity ladder. </w:t>
      </w:r>
      <w:r>
        <w:rPr>
          <w:rFonts w:ascii="Arial" w:cs="Arial" w:eastAsia="Arial" w:hAnsi="Arial"/>
          <w:sz w:val="22"/>
          <w:szCs w:val="22"/>
        </w:rPr>
        <w:t xml:space="preserve"> Term out near-term maturities opportunistically while investment-grade spreads are favorable, and keep the ladder staggered — never let a wall form.</w:t>
      </w:r>
    </w:p>
    <w:p>
      <w:pPr>
        <w:pStyle w:val="ListParagraph"/>
        <w:numPr>
          <w:ilvl w:val="0"/>
          <w:numId w:val="2"/>
        </w:numPr>
        <w:spacing w:after="11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Preserve revolver capacity. </w:t>
      </w:r>
      <w:r>
        <w:rPr>
          <w:rFonts w:ascii="Arial" w:cs="Arial" w:eastAsia="Arial" w:hAnsi="Arial"/>
          <w:sz w:val="22"/>
          <w:szCs w:val="22"/>
        </w:rPr>
        <w:t xml:space="preserve"> Keep the revolver undrawn as the liquidity backstop; the thin cash balance is acceptable only because the revolver and free cash flow are reliable.</w:t>
      </w:r>
    </w:p>
    <w:p>
      <w:pPr>
        <w:pStyle w:val="ListParagraph"/>
        <w:numPr>
          <w:ilvl w:val="0"/>
          <w:numId w:val="2"/>
        </w:numPr>
        <w:spacing w:after="11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Gate M&amp;A on leverage. </w:t>
      </w:r>
      <w:r>
        <w:rPr>
          <w:rFonts w:ascii="Arial" w:cs="Arial" w:eastAsia="Arial" w:hAnsi="Arial"/>
          <w:sz w:val="22"/>
          <w:szCs w:val="22"/>
        </w:rPr>
        <w:t xml:space="preserve"> No large debt-funded deal until net leverage is below ≈3.5x; size bolt-ons to keep pro-forma leverage under ≈4.0x.</w:t>
      </w:r>
    </w:p>
    <w:p>
      <w:pPr>
        <w:pStyle w:val="ListParagraph"/>
        <w:numPr>
          <w:ilvl w:val="0"/>
          <w:numId w:val="2"/>
        </w:numPr>
        <w:spacing w:after="11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Mine working capital. </w:t>
      </w:r>
      <w:r>
        <w:rPr>
          <w:rFonts w:ascii="Arial" w:cs="Arial" w:eastAsia="Arial" w:hAnsi="Arial"/>
          <w:sz w:val="22"/>
          <w:szCs w:val="22"/>
        </w:rPr>
        <w:t xml:space="preserve"> Stand up a supplier-finance / receivables program (Sentinel WCF) to release one-time working-capital cash and accelerate the deleveraging path without an income-statement cost.</w:t>
      </w:r>
    </w:p>
    <w:p>
      <w:pPr>
        <w:pStyle w:val="ListParagraph"/>
        <w:numPr>
          <w:ilvl w:val="0"/>
          <w:numId w:val="2"/>
        </w:numPr>
        <w:spacing w:after="11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Watch the impairment story. </w:t>
      </w:r>
      <w:r>
        <w:rPr>
          <w:rFonts w:ascii="Arial" w:cs="Arial" w:eastAsia="Arial" w:hAnsi="Arial"/>
          <w:sz w:val="22"/>
          <w:szCs w:val="22"/>
        </w:rPr>
        <w:t xml:space="preserve"> Track the Sweet Baked Snacks segment: further impairment is non-cash but a repeat would pressure the equity cushion and invite agency scrutiny — get ahead of the narrative.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top w:val="single" w:color="D9D2C2" w:sz="4" w:space="6"/>
        </w:pBdr>
        <w:spacing w:before="60"/>
      </w:pPr>
      <w:r>
        <w:rPr>
          <w:rFonts w:ascii="Arial" w:cs="Arial" w:eastAsia="Arial" w:hAnsi="Arial"/>
          <w:b/>
          <w:bCs/>
          <w:color w:val="14223F"/>
          <w:sz w:val="18"/>
          <w:szCs w:val="18"/>
        </w:rPr>
        <w:t xml:space="preserve">Prepared by Sentinel Credit · Treasury Review module. </w:t>
      </w:r>
      <w:r>
        <w:rPr>
          <w:rFonts w:ascii="Arial" w:cs="Arial" w:eastAsia="Arial" w:hAnsi="Arial"/>
          <w:i/>
          <w:iCs/>
          <w:color w:val="5A5F66"/>
          <w:sz w:val="18"/>
          <w:szCs w:val="18"/>
        </w:rPr>
        <w:t xml:space="preserve">Figures derived from The J. M. Smucker Company’s public SEC filings (FY2023–FY2026, fiscal year ending April 30). Adjusted EBITDA normalizes non-cash impairment and acquisition/restructuring charges. This is a representative sample of a Sentinel Treasury Review, not a current rating opinion or investment advice. Sentinel Credit, Inc. is not an NRSRO.</w:t>
      </w:r>
    </w:p>
    <w:sectPr>
      <w:headerReference w:type="default" r:id="rId7"/>
      <w:footerReference w:type="default" r:id="rId8"/>
      <w:pgSz w:w="12240" w:h="15840" w:orient="portrait"/>
      <w:pgMar w:top="1100" w:right="1440" w:bottom="110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9D2C2" w:sz="4" w:space="4"/>
      </w:pBdr>
      <w:tabs>
        <w:tab w:val="right" w:pos="9360"/>
      </w:tabs>
      <w:spacing w:before="0"/>
    </w:pPr>
    <w:r>
      <w:rPr>
        <w:rFonts w:ascii="Arial" w:cs="Arial" w:eastAsia="Arial" w:hAnsi="Arial"/>
        <w:i/>
        <w:iCs/>
        <w:color w:val="5A5F66"/>
        <w:sz w:val="14"/>
        <w:szCs w:val="14"/>
      </w:rPr>
      <w:t xml:space="preserve">Sentinel Credit, Inc. is not an NRSRO. Sample — analytical opinions, illustrative; not investment advice.</w:t>
    </w:r>
    <w:r>
      <w:rPr>
        <w:rFonts w:ascii="Arial" w:cs="Arial" w:eastAsia="Arial" w:hAnsi="Arial"/>
        <w:color w:val="5A5F66"/>
        <w:sz w:val="14"/>
        <w:szCs w:val="14"/>
      </w:rPr>
      <w:t xml:space="preserve">	Page </w:t>
    </w:r>
    <w:r>
      <w:rPr>
        <w:rFonts w:ascii="Arial" w:cs="Arial" w:eastAsia="Arial" w:hAnsi="Arial"/>
        <w:color w:val="5A5F66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B0862E" w:sz="4" w:space="4"/>
      </w:pBdr>
      <w:tabs>
        <w:tab w:val="right" w:pos="9360"/>
      </w:tabs>
      <w:spacing w:after="0"/>
    </w:pPr>
    <w:r>
      <w:rPr>
        <w:rFonts w:ascii="Arial" w:cs="Arial" w:eastAsia="Arial" w:hAnsi="Arial"/>
        <w:b/>
        <w:bCs/>
        <w:color w:val="14223F"/>
        <w:sz w:val="18"/>
        <w:szCs w:val="18"/>
      </w:rPr>
      <w:t xml:space="preserve">SENTINEL CREDIT</w:t>
    </w:r>
    <w:r>
      <w:rPr>
        <w:rFonts w:ascii="Arial" w:cs="Arial" w:eastAsia="Arial" w:hAnsi="Arial"/>
        <w:color w:val="5A5F66"/>
        <w:sz w:val="16"/>
        <w:szCs w:val="16"/>
      </w:rPr>
      <w:t xml:space="preserve">	Treasury Review — The J. M. Smucker Company (SJM)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40" w:before="260"/>
      <w:outlineLvl w:val="0"/>
    </w:pPr>
    <w:rPr>
      <w:rFonts w:ascii="Arial" w:cs="Arial" w:eastAsia="Arial" w:hAnsi="Arial"/>
      <w:b/>
      <w:bCs/>
      <w:color w:val="14223F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1b3e7b561b9b9d50b8ca206c10b18e96df723f56.png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2026-06-22T03:50:00.670Z</dcterms:created>
  <dcterms:modified xsi:type="dcterms:W3CDTF">2026-06-22T03:50:00.670Z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